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pStyle w:val="BodyText"/>
      </w:pPr>
    </w:p>
    <w:p>
      <w:pPr>
        <w:pStyle w:val="BodyText"/>
        <w:spacing w:before="29"/>
      </w:pPr>
    </w:p>
    <w:p>
      <w:pPr>
        <w:spacing w:line="369" w:lineRule="auto" w:before="0"/>
        <w:ind w:left="7909" w:right="138" w:firstLine="60"/>
        <w:jc w:val="right"/>
        <w:rPr>
          <w:rFonts w:ascii="Cambria"/>
          <w:b/>
          <w:sz w:val="22"/>
        </w:rPr>
      </w:pPr>
      <w:r>
        <w:rPr>
          <w:rFonts w:ascii="Cambria"/>
          <w:b/>
          <w:sz w:val="22"/>
        </w:rPr>
        <w:drawing>
          <wp:anchor distT="0" distB="0" distL="0" distR="0" allowOverlap="1" layoutInCell="1" locked="0" behindDoc="0" simplePos="0" relativeHeight="15728640">
            <wp:simplePos x="0" y="0"/>
            <wp:positionH relativeFrom="page">
              <wp:posOffset>1357885</wp:posOffset>
            </wp:positionH>
            <wp:positionV relativeFrom="paragraph">
              <wp:posOffset>-656184</wp:posOffset>
            </wp:positionV>
            <wp:extent cx="2192571" cy="84052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192571" cy="840528"/>
                    </a:xfrm>
                    <a:prstGeom prst="rect">
                      <a:avLst/>
                    </a:prstGeom>
                  </pic:spPr>
                </pic:pic>
              </a:graphicData>
            </a:graphic>
          </wp:anchor>
        </w:drawing>
      </w:r>
      <w:r>
        <w:rPr>
          <w:rFonts w:ascii="Cambria"/>
          <w:b/>
          <w:spacing w:val="-6"/>
          <w:sz w:val="22"/>
        </w:rPr>
        <w:t>OP24-</w:t>
      </w:r>
      <w:r>
        <w:rPr>
          <w:rFonts w:ascii="Cambria"/>
          <w:b/>
          <w:spacing w:val="-6"/>
          <w:sz w:val="22"/>
        </w:rPr>
        <w:t>2600 </w:t>
      </w:r>
      <w:r>
        <w:rPr>
          <w:rFonts w:ascii="Cambria"/>
          <w:b/>
          <w:spacing w:val="-2"/>
          <w:w w:val="90"/>
          <w:sz w:val="22"/>
        </w:rPr>
        <w:t>28/01/2025</w:t>
      </w:r>
    </w:p>
    <w:p>
      <w:pPr>
        <w:pStyle w:val="BodyText"/>
        <w:spacing w:before="139"/>
        <w:rPr>
          <w:rFonts w:ascii="Cambria"/>
          <w:b/>
        </w:rPr>
      </w:pPr>
    </w:p>
    <w:p>
      <w:pPr>
        <w:spacing w:before="1"/>
        <w:ind w:left="0" w:right="138" w:firstLine="0"/>
        <w:jc w:val="center"/>
        <w:rPr>
          <w:rFonts w:ascii="Cambria" w:hAnsi="Cambria"/>
          <w:b/>
          <w:sz w:val="22"/>
        </w:rPr>
      </w:pPr>
      <w:r>
        <w:rPr>
          <w:rFonts w:ascii="Cambria" w:hAnsi="Cambria"/>
          <w:b/>
          <w:spacing w:val="-2"/>
          <w:w w:val="105"/>
          <w:sz w:val="22"/>
        </w:rPr>
        <w:t>DÉCISION</w:t>
      </w:r>
    </w:p>
    <w:p>
      <w:pPr>
        <w:pStyle w:val="BodyText"/>
        <w:spacing w:before="106"/>
        <w:rPr>
          <w:rFonts w:ascii="Cambria"/>
          <w:b/>
        </w:rPr>
      </w:pPr>
    </w:p>
    <w:p>
      <w:pPr>
        <w:spacing w:before="0"/>
        <w:ind w:left="0" w:right="139" w:firstLine="0"/>
        <w:jc w:val="center"/>
        <w:rPr>
          <w:rFonts w:ascii="Cambria"/>
          <w:b/>
          <w:sz w:val="22"/>
        </w:rPr>
      </w:pPr>
      <w:r>
        <w:rPr>
          <w:rFonts w:ascii="Cambria"/>
          <w:b/>
          <w:w w:val="105"/>
          <w:sz w:val="22"/>
        </w:rPr>
        <w:t>STATUANT</w:t>
      </w:r>
      <w:r>
        <w:rPr>
          <w:rFonts w:ascii="Cambria"/>
          <w:b/>
          <w:spacing w:val="-10"/>
          <w:w w:val="105"/>
          <w:sz w:val="22"/>
        </w:rPr>
        <w:t> </w:t>
      </w:r>
      <w:r>
        <w:rPr>
          <w:rFonts w:ascii="Cambria"/>
          <w:b/>
          <w:w w:val="105"/>
          <w:sz w:val="22"/>
        </w:rPr>
        <w:t>SUR</w:t>
      </w:r>
      <w:r>
        <w:rPr>
          <w:rFonts w:ascii="Cambria"/>
          <w:b/>
          <w:spacing w:val="-9"/>
          <w:w w:val="105"/>
          <w:sz w:val="22"/>
        </w:rPr>
        <w:t> </w:t>
      </w:r>
      <w:r>
        <w:rPr>
          <w:rFonts w:ascii="Cambria"/>
          <w:b/>
          <w:w w:val="105"/>
          <w:sz w:val="22"/>
        </w:rPr>
        <w:t>UNE</w:t>
      </w:r>
      <w:r>
        <w:rPr>
          <w:rFonts w:ascii="Cambria"/>
          <w:b/>
          <w:spacing w:val="-10"/>
          <w:w w:val="105"/>
          <w:sz w:val="22"/>
        </w:rPr>
        <w:t> </w:t>
      </w:r>
      <w:r>
        <w:rPr>
          <w:rFonts w:ascii="Cambria"/>
          <w:b/>
          <w:spacing w:val="-2"/>
          <w:w w:val="105"/>
          <w:sz w:val="22"/>
        </w:rPr>
        <w:t>OPPOSITION</w:t>
      </w:r>
    </w:p>
    <w:p>
      <w:pPr>
        <w:pStyle w:val="BodyText"/>
        <w:rPr>
          <w:rFonts w:ascii="Cambria"/>
          <w:b/>
        </w:rPr>
      </w:pPr>
    </w:p>
    <w:p>
      <w:pPr>
        <w:pStyle w:val="BodyText"/>
        <w:spacing w:before="140"/>
        <w:rPr>
          <w:rFonts w:ascii="Cambria"/>
          <w:b/>
        </w:rPr>
      </w:pPr>
    </w:p>
    <w:p>
      <w:pPr>
        <w:spacing w:before="0"/>
        <w:ind w:left="5" w:right="139" w:firstLine="0"/>
        <w:jc w:val="center"/>
        <w:rPr>
          <w:rFonts w:ascii="Cambria"/>
          <w:b/>
          <w:sz w:val="22"/>
        </w:rPr>
      </w:pPr>
      <w:r>
        <w:rPr>
          <w:rFonts w:ascii="Cambria"/>
          <w:b/>
          <w:spacing w:val="-4"/>
          <w:sz w:val="22"/>
        </w:rPr>
        <w:t>****</w:t>
      </w:r>
    </w:p>
    <w:p>
      <w:pPr>
        <w:pStyle w:val="BodyText"/>
        <w:rPr>
          <w:rFonts w:ascii="Cambria"/>
          <w:b/>
        </w:rPr>
      </w:pPr>
    </w:p>
    <w:p>
      <w:pPr>
        <w:pStyle w:val="BodyText"/>
        <w:spacing w:before="132"/>
        <w:rPr>
          <w:rFonts w:ascii="Cambria"/>
          <w:b/>
        </w:rPr>
      </w:pPr>
    </w:p>
    <w:p>
      <w:pPr>
        <w:pStyle w:val="BodyText"/>
        <w:spacing w:line="280" w:lineRule="auto"/>
        <w:ind w:left="3" w:right="151" w:firstLine="566"/>
        <w:jc w:val="both"/>
      </w:pPr>
      <w:r>
        <w:rPr>
          <w:rFonts w:ascii="Cambria" w:hAnsi="Cambria"/>
          <w:b/>
        </w:rPr>
        <w:t>Vu</w:t>
      </w:r>
      <w:r>
        <w:rPr>
          <w:rFonts w:ascii="Cambria" w:hAnsi="Cambria"/>
          <w:b/>
          <w:spacing w:val="13"/>
        </w:rPr>
        <w:t> </w:t>
      </w:r>
      <w:r>
        <w:rPr/>
        <w:t>le Code de la propriété intellectuelle et notamment ses articles L 411-4, L 411-5, L 712-3 à</w:t>
      </w:r>
      <w:r>
        <w:rPr>
          <w:spacing w:val="40"/>
        </w:rPr>
        <w:t> </w:t>
      </w:r>
      <w:r>
        <w:rPr/>
        <w:t>L</w:t>
      </w:r>
      <w:r>
        <w:rPr>
          <w:spacing w:val="1"/>
        </w:rPr>
        <w:t> </w:t>
      </w:r>
      <w:r>
        <w:rPr/>
        <w:t>712-5-1,</w:t>
      </w:r>
      <w:r>
        <w:rPr>
          <w:spacing w:val="4"/>
        </w:rPr>
        <w:t> </w:t>
      </w:r>
      <w:r>
        <w:rPr/>
        <w:t>L</w:t>
      </w:r>
      <w:r>
        <w:rPr>
          <w:spacing w:val="1"/>
        </w:rPr>
        <w:t> </w:t>
      </w:r>
      <w:r>
        <w:rPr/>
        <w:t>712-7,</w:t>
      </w:r>
      <w:r>
        <w:rPr>
          <w:spacing w:val="2"/>
        </w:rPr>
        <w:t> </w:t>
      </w:r>
      <w:r>
        <w:rPr/>
        <w:t>L-713-2,</w:t>
      </w:r>
      <w:r>
        <w:rPr>
          <w:spacing w:val="4"/>
        </w:rPr>
        <w:t> </w:t>
      </w:r>
      <w:r>
        <w:rPr/>
        <w:t>L</w:t>
      </w:r>
      <w:r>
        <w:rPr>
          <w:spacing w:val="1"/>
        </w:rPr>
        <w:t> </w:t>
      </w:r>
      <w:r>
        <w:rPr/>
        <w:t>713-3,</w:t>
      </w:r>
      <w:r>
        <w:rPr>
          <w:spacing w:val="5"/>
        </w:rPr>
        <w:t> </w:t>
      </w:r>
      <w:r>
        <w:rPr/>
        <w:t>R</w:t>
      </w:r>
      <w:r>
        <w:rPr>
          <w:spacing w:val="2"/>
        </w:rPr>
        <w:t> </w:t>
      </w:r>
      <w:r>
        <w:rPr/>
        <w:t>411-17,</w:t>
      </w:r>
      <w:r>
        <w:rPr>
          <w:spacing w:val="2"/>
        </w:rPr>
        <w:t> </w:t>
      </w:r>
      <w:r>
        <w:rPr/>
        <w:t>R</w:t>
      </w:r>
      <w:r>
        <w:rPr>
          <w:spacing w:val="2"/>
        </w:rPr>
        <w:t> </w:t>
      </w:r>
      <w:r>
        <w:rPr/>
        <w:t>712-13</w:t>
      </w:r>
      <w:r>
        <w:rPr>
          <w:spacing w:val="1"/>
        </w:rPr>
        <w:t> </w:t>
      </w:r>
      <w:r>
        <w:rPr/>
        <w:t>à</w:t>
      </w:r>
      <w:r>
        <w:rPr>
          <w:spacing w:val="4"/>
        </w:rPr>
        <w:t> </w:t>
      </w:r>
      <w:r>
        <w:rPr/>
        <w:t>R</w:t>
      </w:r>
      <w:r>
        <w:rPr>
          <w:spacing w:val="2"/>
        </w:rPr>
        <w:t> </w:t>
      </w:r>
      <w:r>
        <w:rPr/>
        <w:t>712-19,</w:t>
      </w:r>
      <w:r>
        <w:rPr>
          <w:spacing w:val="3"/>
        </w:rPr>
        <w:t> </w:t>
      </w:r>
      <w:r>
        <w:rPr/>
        <w:t>R</w:t>
      </w:r>
      <w:r>
        <w:rPr>
          <w:spacing w:val="2"/>
        </w:rPr>
        <w:t> </w:t>
      </w:r>
      <w:r>
        <w:rPr/>
        <w:t>712-21,</w:t>
      </w:r>
      <w:r>
        <w:rPr>
          <w:spacing w:val="4"/>
        </w:rPr>
        <w:t> </w:t>
      </w:r>
      <w:r>
        <w:rPr/>
        <w:t>R</w:t>
      </w:r>
      <w:r>
        <w:rPr>
          <w:spacing w:val="2"/>
        </w:rPr>
        <w:t> </w:t>
      </w:r>
      <w:r>
        <w:rPr/>
        <w:t>712-26</w:t>
      </w:r>
      <w:r>
        <w:rPr>
          <w:spacing w:val="3"/>
        </w:rPr>
        <w:t> </w:t>
      </w:r>
      <w:r>
        <w:rPr/>
        <w:t>et</w:t>
      </w:r>
      <w:r>
        <w:rPr>
          <w:spacing w:val="4"/>
        </w:rPr>
        <w:t> </w:t>
      </w:r>
      <w:r>
        <w:rPr/>
        <w:t>R</w:t>
      </w:r>
      <w:r>
        <w:rPr>
          <w:spacing w:val="3"/>
        </w:rPr>
        <w:t> </w:t>
      </w:r>
      <w:r>
        <w:rPr>
          <w:spacing w:val="-4"/>
        </w:rPr>
        <w:t>718-</w:t>
      </w:r>
    </w:p>
    <w:p>
      <w:pPr>
        <w:pStyle w:val="BodyText"/>
        <w:spacing w:line="231" w:lineRule="exact"/>
        <w:ind w:left="3"/>
        <w:jc w:val="both"/>
      </w:pPr>
      <w:r>
        <w:rPr/>
        <w:t>2</w:t>
      </w:r>
      <w:r>
        <w:rPr>
          <w:spacing w:val="-2"/>
        </w:rPr>
        <w:t> </w:t>
      </w:r>
      <w:r>
        <w:rPr/>
        <w:t>à R</w:t>
      </w:r>
      <w:r>
        <w:rPr>
          <w:spacing w:val="-2"/>
        </w:rPr>
        <w:t> </w:t>
      </w:r>
      <w:r>
        <w:rPr/>
        <w:t>718-5 </w:t>
      </w:r>
      <w:r>
        <w:rPr>
          <w:spacing w:val="-10"/>
        </w:rPr>
        <w:t>;</w:t>
      </w:r>
    </w:p>
    <w:p>
      <w:pPr>
        <w:pStyle w:val="BodyText"/>
        <w:spacing w:line="280" w:lineRule="auto" w:before="200"/>
        <w:ind w:left="3" w:right="150" w:firstLine="566"/>
        <w:jc w:val="both"/>
      </w:pPr>
      <w:r>
        <w:rPr>
          <w:rFonts w:ascii="Cambria" w:hAnsi="Cambria"/>
          <w:b/>
        </w:rPr>
        <w:t>Vu </w:t>
      </w:r>
      <w:r>
        <w:rPr/>
        <w:t>l’arrêté du 24 avril 2008 modifié, relatif aux redevances de procédure perçues par l'Institut national de la propriété industrielle ;</w:t>
      </w:r>
    </w:p>
    <w:p>
      <w:pPr>
        <w:pStyle w:val="BodyText"/>
        <w:spacing w:line="271" w:lineRule="auto" w:before="156"/>
        <w:ind w:left="3" w:right="157" w:firstLine="566"/>
        <w:jc w:val="both"/>
      </w:pPr>
      <w:r>
        <w:rPr>
          <w:rFonts w:ascii="Cambria" w:hAnsi="Cambria"/>
          <w:b/>
        </w:rPr>
        <w:t>Vu </w:t>
      </w:r>
      <w:r>
        <w:rPr/>
        <w:t>la décision modifiée n° 2014-142 bis du Directeur Général de l'Institut National de la Propriété Industrielle relative aux conditions de présentation et au contenu du dossier des demandes d'enregistrement de marques ;</w:t>
      </w:r>
    </w:p>
    <w:p>
      <w:pPr>
        <w:pStyle w:val="BodyText"/>
        <w:spacing w:line="283" w:lineRule="auto" w:before="165"/>
        <w:ind w:left="3" w:right="151" w:firstLine="566"/>
        <w:jc w:val="both"/>
      </w:pPr>
      <w:r>
        <w:rPr>
          <w:rFonts w:ascii="Cambria" w:hAnsi="Cambria"/>
          <w:b/>
        </w:rPr>
        <w:t>Vu </w:t>
      </w:r>
      <w:r>
        <w:rPr/>
        <w:t>la décision n° 2019-158 du Directeur Général de l'Institut National de la Propriété Industrielle relative aux modalités de la procédure d’opposition à enregistrement d’une marque.</w:t>
      </w:r>
    </w:p>
    <w:p>
      <w:pPr>
        <w:pStyle w:val="BodyText"/>
      </w:pPr>
    </w:p>
    <w:p>
      <w:pPr>
        <w:pStyle w:val="BodyText"/>
      </w:pPr>
    </w:p>
    <w:p>
      <w:pPr>
        <w:pStyle w:val="BodyText"/>
      </w:pPr>
    </w:p>
    <w:p>
      <w:pPr>
        <w:pStyle w:val="BodyText"/>
        <w:spacing w:before="47"/>
      </w:pPr>
    </w:p>
    <w:p>
      <w:pPr>
        <w:pStyle w:val="ListParagraph"/>
        <w:numPr>
          <w:ilvl w:val="0"/>
          <w:numId w:val="1"/>
        </w:numPr>
        <w:tabs>
          <w:tab w:pos="200" w:val="left" w:leader="none"/>
        </w:tabs>
        <w:spacing w:line="240" w:lineRule="auto" w:before="0" w:after="0"/>
        <w:ind w:left="200" w:right="0" w:hanging="197"/>
        <w:jc w:val="left"/>
        <w:rPr>
          <w:b/>
          <w:sz w:val="22"/>
        </w:rPr>
      </w:pPr>
      <w:r>
        <w:rPr>
          <w:b/>
          <w:w w:val="105"/>
          <w:sz w:val="22"/>
        </w:rPr>
        <w:t>FAITS</w:t>
      </w:r>
      <w:r>
        <w:rPr>
          <w:b/>
          <w:spacing w:val="-13"/>
          <w:w w:val="105"/>
          <w:sz w:val="22"/>
        </w:rPr>
        <w:t> </w:t>
      </w:r>
      <w:r>
        <w:rPr>
          <w:b/>
          <w:w w:val="105"/>
          <w:sz w:val="22"/>
        </w:rPr>
        <w:t>ET</w:t>
      </w:r>
      <w:r>
        <w:rPr>
          <w:b/>
          <w:spacing w:val="-12"/>
          <w:w w:val="105"/>
          <w:sz w:val="22"/>
        </w:rPr>
        <w:t> </w:t>
      </w:r>
      <w:r>
        <w:rPr>
          <w:b/>
          <w:spacing w:val="-2"/>
          <w:w w:val="105"/>
          <w:sz w:val="22"/>
        </w:rPr>
        <w:t>PROCÉDURE</w:t>
      </w:r>
    </w:p>
    <w:p>
      <w:pPr>
        <w:pStyle w:val="BodyText"/>
        <w:rPr>
          <w:rFonts w:ascii="Cambria"/>
          <w:b/>
        </w:rPr>
      </w:pPr>
    </w:p>
    <w:p>
      <w:pPr>
        <w:pStyle w:val="BodyText"/>
        <w:spacing w:before="16"/>
        <w:rPr>
          <w:rFonts w:ascii="Cambria"/>
          <w:b/>
        </w:rPr>
      </w:pPr>
    </w:p>
    <w:p>
      <w:pPr>
        <w:pStyle w:val="BodyText"/>
        <w:ind w:left="3" w:right="209"/>
        <w:jc w:val="both"/>
      </w:pPr>
      <w:r>
        <w:rPr/>
        <w:t>Madame S O a déposé le 29 avril 2024 la demande d’enregistrement n°5051190 portant sur le signe verbal LAYYIN.</w:t>
      </w:r>
    </w:p>
    <w:p>
      <w:pPr>
        <w:pStyle w:val="BodyText"/>
        <w:spacing w:before="252"/>
        <w:ind w:left="3" w:right="200"/>
        <w:jc w:val="both"/>
      </w:pPr>
      <w:r>
        <w:rPr/>
        <w:t>Le 25 mai 2022, la société JEANNE LANVIN a formé opposition à l’enregistrement de cette marque sur la base de la marque verbale française LANVIN déposée le 20 janvier 1989, enregistrée sous le n°1509885, sur le fondement du risque de confusion, dont elle est devenue titulaire à la suite d’une transmission totale de propriété.</w:t>
      </w:r>
    </w:p>
    <w:p>
      <w:pPr>
        <w:pStyle w:val="BodyText"/>
        <w:spacing w:before="17"/>
      </w:pPr>
    </w:p>
    <w:p>
      <w:pPr>
        <w:pStyle w:val="BodyText"/>
        <w:ind w:left="3" w:right="160"/>
        <w:jc w:val="both"/>
      </w:pPr>
      <w:r>
        <w:rPr/>
        <w:t>L'opposition a été notifiée au titulaire de la demande d’enregistrement. Cette notification l’invitait à présenter des observations en réponse à l'opposition dans un délai de deux mois.</w:t>
      </w:r>
    </w:p>
    <w:p>
      <w:pPr>
        <w:pStyle w:val="BodyText"/>
        <w:spacing w:before="252"/>
        <w:ind w:left="3"/>
        <w:jc w:val="both"/>
      </w:pPr>
      <w:r>
        <w:rPr/>
        <w:t>Au</w:t>
      </w:r>
      <w:r>
        <w:rPr>
          <w:spacing w:val="-6"/>
        </w:rPr>
        <w:t> </w:t>
      </w:r>
      <w:r>
        <w:rPr/>
        <w:t>cours</w:t>
      </w:r>
      <w:r>
        <w:rPr>
          <w:spacing w:val="-2"/>
        </w:rPr>
        <w:t> </w:t>
      </w:r>
      <w:r>
        <w:rPr/>
        <w:t>de</w:t>
      </w:r>
      <w:r>
        <w:rPr>
          <w:spacing w:val="-3"/>
        </w:rPr>
        <w:t> </w:t>
      </w:r>
      <w:r>
        <w:rPr/>
        <w:t>la</w:t>
      </w:r>
      <w:r>
        <w:rPr>
          <w:spacing w:val="-3"/>
        </w:rPr>
        <w:t> </w:t>
      </w:r>
      <w:r>
        <w:rPr/>
        <w:t>phase</w:t>
      </w:r>
      <w:r>
        <w:rPr>
          <w:spacing w:val="-3"/>
        </w:rPr>
        <w:t> </w:t>
      </w:r>
      <w:r>
        <w:rPr/>
        <w:t>d’instruction,</w:t>
      </w:r>
      <w:r>
        <w:rPr>
          <w:spacing w:val="-4"/>
        </w:rPr>
        <w:t> </w:t>
      </w:r>
      <w:r>
        <w:rPr/>
        <w:t>des</w:t>
      </w:r>
      <w:r>
        <w:rPr>
          <w:spacing w:val="-4"/>
        </w:rPr>
        <w:t> </w:t>
      </w:r>
      <w:r>
        <w:rPr/>
        <w:t>observations</w:t>
      </w:r>
      <w:r>
        <w:rPr>
          <w:spacing w:val="-2"/>
        </w:rPr>
        <w:t> </w:t>
      </w:r>
      <w:r>
        <w:rPr/>
        <w:t>écrites</w:t>
      </w:r>
      <w:r>
        <w:rPr>
          <w:spacing w:val="-2"/>
        </w:rPr>
        <w:t> </w:t>
      </w:r>
      <w:r>
        <w:rPr/>
        <w:t>ont</w:t>
      </w:r>
      <w:r>
        <w:rPr>
          <w:spacing w:val="-3"/>
        </w:rPr>
        <w:t> </w:t>
      </w:r>
      <w:r>
        <w:rPr/>
        <w:t>été</w:t>
      </w:r>
      <w:r>
        <w:rPr>
          <w:spacing w:val="-4"/>
        </w:rPr>
        <w:t> </w:t>
      </w:r>
      <w:r>
        <w:rPr>
          <w:spacing w:val="-2"/>
        </w:rPr>
        <w:t>échangées.</w:t>
      </w:r>
    </w:p>
    <w:p>
      <w:pPr>
        <w:pStyle w:val="BodyText"/>
      </w:pPr>
    </w:p>
    <w:p>
      <w:pPr>
        <w:pStyle w:val="BodyText"/>
        <w:ind w:left="3"/>
        <w:jc w:val="both"/>
      </w:pPr>
      <w:r>
        <w:rPr/>
        <w:t>A</w:t>
      </w:r>
      <w:r>
        <w:rPr>
          <w:spacing w:val="-7"/>
        </w:rPr>
        <w:t> </w:t>
      </w:r>
      <w:r>
        <w:rPr/>
        <w:t>l’issue</w:t>
      </w:r>
      <w:r>
        <w:rPr>
          <w:spacing w:val="-3"/>
        </w:rPr>
        <w:t> </w:t>
      </w:r>
      <w:r>
        <w:rPr/>
        <w:t>des</w:t>
      </w:r>
      <w:r>
        <w:rPr>
          <w:spacing w:val="-2"/>
        </w:rPr>
        <w:t> </w:t>
      </w:r>
      <w:r>
        <w:rPr/>
        <w:t>échanges,</w:t>
      </w:r>
      <w:r>
        <w:rPr>
          <w:spacing w:val="-2"/>
        </w:rPr>
        <w:t> </w:t>
      </w:r>
      <w:r>
        <w:rPr/>
        <w:t>la</w:t>
      </w:r>
      <w:r>
        <w:rPr>
          <w:spacing w:val="-3"/>
        </w:rPr>
        <w:t> </w:t>
      </w:r>
      <w:r>
        <w:rPr/>
        <w:t>phase</w:t>
      </w:r>
      <w:r>
        <w:rPr>
          <w:spacing w:val="-3"/>
        </w:rPr>
        <w:t> </w:t>
      </w:r>
      <w:r>
        <w:rPr/>
        <w:t>d’instruction</w:t>
      </w:r>
      <w:r>
        <w:rPr>
          <w:spacing w:val="-3"/>
        </w:rPr>
        <w:t> </w:t>
      </w:r>
      <w:r>
        <w:rPr/>
        <w:t>a</w:t>
      </w:r>
      <w:r>
        <w:rPr>
          <w:spacing w:val="-4"/>
        </w:rPr>
        <w:t> </w:t>
      </w:r>
      <w:r>
        <w:rPr/>
        <w:t>pris</w:t>
      </w:r>
      <w:r>
        <w:rPr>
          <w:spacing w:val="-3"/>
        </w:rPr>
        <w:t> </w:t>
      </w:r>
      <w:r>
        <w:rPr/>
        <w:t>fin,</w:t>
      </w:r>
      <w:r>
        <w:rPr>
          <w:spacing w:val="-2"/>
        </w:rPr>
        <w:t> </w:t>
      </w:r>
      <w:r>
        <w:rPr/>
        <w:t>ce</w:t>
      </w:r>
      <w:r>
        <w:rPr>
          <w:spacing w:val="-3"/>
        </w:rPr>
        <w:t> </w:t>
      </w:r>
      <w:r>
        <w:rPr/>
        <w:t>dont</w:t>
      </w:r>
      <w:r>
        <w:rPr>
          <w:spacing w:val="-4"/>
        </w:rPr>
        <w:t> </w:t>
      </w:r>
      <w:r>
        <w:rPr/>
        <w:t>les</w:t>
      </w:r>
      <w:r>
        <w:rPr>
          <w:spacing w:val="-2"/>
        </w:rPr>
        <w:t> </w:t>
      </w:r>
      <w:r>
        <w:rPr/>
        <w:t>parties</w:t>
      </w:r>
      <w:r>
        <w:rPr>
          <w:spacing w:val="-2"/>
        </w:rPr>
        <w:t> </w:t>
      </w:r>
      <w:r>
        <w:rPr/>
        <w:t>ont</w:t>
      </w:r>
      <w:r>
        <w:rPr>
          <w:spacing w:val="-2"/>
        </w:rPr>
        <w:t> </w:t>
      </w:r>
      <w:r>
        <w:rPr/>
        <w:t>été</w:t>
      </w:r>
      <w:r>
        <w:rPr>
          <w:spacing w:val="-5"/>
        </w:rPr>
        <w:t> </w:t>
      </w:r>
      <w:r>
        <w:rPr>
          <w:spacing w:val="-2"/>
        </w:rPr>
        <w:t>informées.</w:t>
      </w:r>
    </w:p>
    <w:p>
      <w:pPr>
        <w:pStyle w:val="BodyText"/>
        <w:spacing w:after="0"/>
        <w:jc w:val="both"/>
        <w:sectPr>
          <w:footerReference w:type="default" r:id="rId5"/>
          <w:type w:val="continuous"/>
          <w:pgSz w:w="11910" w:h="16840"/>
          <w:pgMar w:header="0" w:footer="923" w:top="1040" w:bottom="1120" w:left="1417" w:right="1275"/>
          <w:pgNumType w:start="1"/>
        </w:sectPr>
      </w:pPr>
    </w:p>
    <w:p>
      <w:pPr>
        <w:pStyle w:val="BodyText"/>
        <w:spacing w:before="4"/>
        <w:rPr>
          <w:sz w:val="17"/>
        </w:rPr>
      </w:pPr>
    </w:p>
    <w:p>
      <w:pPr>
        <w:pStyle w:val="BodyText"/>
        <w:spacing w:after="0"/>
        <w:rPr>
          <w:sz w:val="17"/>
        </w:rPr>
        <w:sectPr>
          <w:pgSz w:w="11910" w:h="16840"/>
          <w:pgMar w:header="0" w:footer="923" w:top="1920" w:bottom="1120" w:left="1417" w:right="1275"/>
        </w:sectPr>
      </w:pPr>
    </w:p>
    <w:p>
      <w:pPr>
        <w:pStyle w:val="ListParagraph"/>
        <w:numPr>
          <w:ilvl w:val="0"/>
          <w:numId w:val="1"/>
        </w:numPr>
        <w:tabs>
          <w:tab w:pos="286" w:val="left" w:leader="none"/>
        </w:tabs>
        <w:spacing w:line="240" w:lineRule="auto" w:before="99" w:after="0"/>
        <w:ind w:left="286" w:right="0" w:hanging="283"/>
        <w:jc w:val="left"/>
        <w:rPr>
          <w:b/>
          <w:sz w:val="22"/>
        </w:rPr>
      </w:pPr>
      <w:r>
        <w:rPr>
          <w:b/>
          <w:spacing w:val="-2"/>
          <w:w w:val="105"/>
          <w:sz w:val="22"/>
        </w:rPr>
        <w:t>DÉCISION</w:t>
      </w:r>
    </w:p>
    <w:p>
      <w:pPr>
        <w:pStyle w:val="BodyText"/>
        <w:rPr>
          <w:rFonts w:ascii="Cambria"/>
          <w:b/>
        </w:rPr>
      </w:pPr>
    </w:p>
    <w:p>
      <w:pPr>
        <w:pStyle w:val="BodyText"/>
        <w:spacing w:before="64"/>
        <w:rPr>
          <w:rFonts w:ascii="Cambria"/>
          <w:b/>
        </w:rPr>
      </w:pPr>
    </w:p>
    <w:p>
      <w:pPr>
        <w:pStyle w:val="BodyText"/>
        <w:ind w:left="3" w:right="157"/>
        <w:jc w:val="both"/>
      </w:pPr>
      <w:r>
        <w:rPr/>
        <w:t>Le</w:t>
      </w:r>
      <w:r>
        <w:rPr>
          <w:spacing w:val="-4"/>
        </w:rPr>
        <w:t> </w:t>
      </w:r>
      <w:r>
        <w:rPr/>
        <w:t>risque</w:t>
      </w:r>
      <w:r>
        <w:rPr>
          <w:spacing w:val="-2"/>
        </w:rPr>
        <w:t> </w:t>
      </w:r>
      <w:r>
        <w:rPr/>
        <w:t>de</w:t>
      </w:r>
      <w:r>
        <w:rPr>
          <w:spacing w:val="-4"/>
        </w:rPr>
        <w:t> </w:t>
      </w:r>
      <w:r>
        <w:rPr/>
        <w:t>confusion</w:t>
      </w:r>
      <w:r>
        <w:rPr>
          <w:spacing w:val="-4"/>
        </w:rPr>
        <w:t> </w:t>
      </w:r>
      <w:r>
        <w:rPr/>
        <w:t>s'entend</w:t>
      </w:r>
      <w:r>
        <w:rPr>
          <w:spacing w:val="-2"/>
        </w:rPr>
        <w:t> </w:t>
      </w:r>
      <w:r>
        <w:rPr/>
        <w:t>du</w:t>
      </w:r>
      <w:r>
        <w:rPr>
          <w:spacing w:val="-4"/>
        </w:rPr>
        <w:t> </w:t>
      </w:r>
      <w:r>
        <w:rPr/>
        <w:t>risque</w:t>
      </w:r>
      <w:r>
        <w:rPr>
          <w:spacing w:val="-2"/>
        </w:rPr>
        <w:t> </w:t>
      </w:r>
      <w:r>
        <w:rPr/>
        <w:t>que</w:t>
      </w:r>
      <w:r>
        <w:rPr>
          <w:spacing w:val="-4"/>
        </w:rPr>
        <w:t> </w:t>
      </w:r>
      <w:r>
        <w:rPr/>
        <w:t>le</w:t>
      </w:r>
      <w:r>
        <w:rPr>
          <w:spacing w:val="-4"/>
        </w:rPr>
        <w:t> </w:t>
      </w:r>
      <w:r>
        <w:rPr/>
        <w:t>public</w:t>
      </w:r>
      <w:r>
        <w:rPr>
          <w:spacing w:val="-2"/>
        </w:rPr>
        <w:t> </w:t>
      </w:r>
      <w:r>
        <w:rPr/>
        <w:t>puisse</w:t>
      </w:r>
      <w:r>
        <w:rPr>
          <w:spacing w:val="-4"/>
        </w:rPr>
        <w:t> </w:t>
      </w:r>
      <w:r>
        <w:rPr/>
        <w:t>croire</w:t>
      </w:r>
      <w:r>
        <w:rPr>
          <w:spacing w:val="-4"/>
        </w:rPr>
        <w:t> </w:t>
      </w:r>
      <w:r>
        <w:rPr/>
        <w:t>que</w:t>
      </w:r>
      <w:r>
        <w:rPr>
          <w:spacing w:val="-2"/>
        </w:rPr>
        <w:t> </w:t>
      </w:r>
      <w:r>
        <w:rPr/>
        <w:t>les</w:t>
      </w:r>
      <w:r>
        <w:rPr>
          <w:spacing w:val="-3"/>
        </w:rPr>
        <w:t> </w:t>
      </w:r>
      <w:r>
        <w:rPr/>
        <w:t>produits</w:t>
      </w:r>
      <w:r>
        <w:rPr>
          <w:spacing w:val="-3"/>
        </w:rPr>
        <w:t> </w:t>
      </w:r>
      <w:r>
        <w:rPr/>
        <w:t>ou</w:t>
      </w:r>
      <w:r>
        <w:rPr>
          <w:spacing w:val="-2"/>
        </w:rPr>
        <w:t> </w:t>
      </w:r>
      <w:r>
        <w:rPr/>
        <w:t>les</w:t>
      </w:r>
      <w:r>
        <w:rPr>
          <w:spacing w:val="-1"/>
        </w:rPr>
        <w:t> </w:t>
      </w:r>
      <w:r>
        <w:rPr/>
        <w:t>services</w:t>
      </w:r>
      <w:r>
        <w:rPr>
          <w:spacing w:val="-1"/>
        </w:rPr>
        <w:t> </w:t>
      </w:r>
      <w:r>
        <w:rPr/>
        <w:t>en cause proviennent de la même entreprise ou, le cas échéant, d’entreprises liées économiquement. Le risque de confusion comprend le risque d’association.</w:t>
      </w:r>
    </w:p>
    <w:p>
      <w:pPr>
        <w:pStyle w:val="BodyText"/>
      </w:pPr>
    </w:p>
    <w:p>
      <w:pPr>
        <w:pStyle w:val="BodyText"/>
        <w:ind w:left="3" w:right="161"/>
        <w:jc w:val="both"/>
      </w:pPr>
      <w:r>
        <w:rPr/>
        <w:t>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w:t>
      </w:r>
      <w:r>
        <w:rPr>
          <w:spacing w:val="-2"/>
        </w:rPr>
        <w:t>pertinent.</w:t>
      </w:r>
    </w:p>
    <w:p>
      <w:pPr>
        <w:pStyle w:val="BodyText"/>
        <w:spacing w:before="215"/>
      </w:pPr>
    </w:p>
    <w:p>
      <w:pPr>
        <w:pStyle w:val="Heading1"/>
        <w:ind w:left="543"/>
        <w:jc w:val="left"/>
      </w:pPr>
      <w:r>
        <w:rPr/>
        <w:t>Sur</w:t>
      </w:r>
      <w:r>
        <w:rPr>
          <w:spacing w:val="7"/>
        </w:rPr>
        <w:t> </w:t>
      </w:r>
      <w:r>
        <w:rPr/>
        <w:t>la</w:t>
      </w:r>
      <w:r>
        <w:rPr>
          <w:spacing w:val="6"/>
        </w:rPr>
        <w:t> </w:t>
      </w:r>
      <w:r>
        <w:rPr/>
        <w:t>comparaison</w:t>
      </w:r>
      <w:r>
        <w:rPr>
          <w:spacing w:val="6"/>
        </w:rPr>
        <w:t> </w:t>
      </w:r>
      <w:r>
        <w:rPr/>
        <w:t>des</w:t>
      </w:r>
      <w:r>
        <w:rPr>
          <w:spacing w:val="5"/>
        </w:rPr>
        <w:t> </w:t>
      </w:r>
      <w:r>
        <w:rPr>
          <w:spacing w:val="-2"/>
        </w:rPr>
        <w:t>produits</w:t>
      </w:r>
    </w:p>
    <w:p>
      <w:pPr>
        <w:pStyle w:val="BodyText"/>
        <w:spacing w:before="20"/>
        <w:rPr>
          <w:rFonts w:ascii="Cambria"/>
          <w:b/>
        </w:rPr>
      </w:pPr>
    </w:p>
    <w:p>
      <w:pPr>
        <w:pStyle w:val="BodyText"/>
        <w:ind w:left="3" w:right="157"/>
        <w:jc w:val="both"/>
      </w:pPr>
      <w:r>
        <w:rPr/>
        <w:t>Pour apprécier la similitude entre les produits et services, il y a lieu de tenir compte de tous les</w:t>
      </w:r>
      <w:r>
        <w:rPr>
          <w:spacing w:val="40"/>
        </w:rPr>
        <w:t> </w:t>
      </w:r>
      <w:r>
        <w:rPr/>
        <w:t>facteurs pertinents qui caractérisent le rapport entre ces produits et services. Les facteurs pertinents concernant la comparaison des produits ou services incluent, en particulier, leur nature, leur fonction, leur destination ainsi que leur caractère complémentaire.</w:t>
      </w:r>
    </w:p>
    <w:p>
      <w:pPr>
        <w:pStyle w:val="BodyText"/>
        <w:spacing w:before="1"/>
      </w:pPr>
    </w:p>
    <w:p>
      <w:pPr>
        <w:spacing w:before="0"/>
        <w:ind w:left="3" w:right="147" w:firstLine="0"/>
        <w:jc w:val="both"/>
        <w:rPr>
          <w:i/>
          <w:sz w:val="22"/>
        </w:rPr>
      </w:pPr>
      <w:r>
        <w:rPr>
          <w:sz w:val="22"/>
        </w:rPr>
        <w:t>L’opposition est formée contre les produits suivants : </w:t>
      </w:r>
      <w:r>
        <w:rPr>
          <w:i/>
          <w:sz w:val="22"/>
        </w:rPr>
        <w:t>« Vêtements ; articles chaussants ; chapellerie ; chemises ; vêtements en cuir ; ceintures (habillement) ; fourrures (vêtements) ; gants (habillement) ; foulards</w:t>
      </w:r>
      <w:r>
        <w:rPr>
          <w:i/>
          <w:spacing w:val="38"/>
          <w:sz w:val="22"/>
        </w:rPr>
        <w:t> </w:t>
      </w:r>
      <w:r>
        <w:rPr>
          <w:i/>
          <w:sz w:val="22"/>
        </w:rPr>
        <w:t>;</w:t>
      </w:r>
      <w:r>
        <w:rPr>
          <w:i/>
          <w:spacing w:val="37"/>
          <w:sz w:val="22"/>
        </w:rPr>
        <w:t> </w:t>
      </w:r>
      <w:r>
        <w:rPr>
          <w:i/>
          <w:sz w:val="22"/>
        </w:rPr>
        <w:t>cravates</w:t>
      </w:r>
      <w:r>
        <w:rPr>
          <w:i/>
          <w:spacing w:val="38"/>
          <w:sz w:val="22"/>
        </w:rPr>
        <w:t> </w:t>
      </w:r>
      <w:r>
        <w:rPr>
          <w:i/>
          <w:sz w:val="22"/>
        </w:rPr>
        <w:t>;</w:t>
      </w:r>
      <w:r>
        <w:rPr>
          <w:i/>
          <w:spacing w:val="39"/>
          <w:sz w:val="22"/>
        </w:rPr>
        <w:t> </w:t>
      </w:r>
      <w:r>
        <w:rPr>
          <w:i/>
          <w:sz w:val="22"/>
        </w:rPr>
        <w:t>bonneterie</w:t>
      </w:r>
      <w:r>
        <w:rPr>
          <w:i/>
          <w:spacing w:val="38"/>
          <w:sz w:val="22"/>
        </w:rPr>
        <w:t> </w:t>
      </w:r>
      <w:r>
        <w:rPr>
          <w:i/>
          <w:sz w:val="22"/>
        </w:rPr>
        <w:t>;</w:t>
      </w:r>
      <w:r>
        <w:rPr>
          <w:i/>
          <w:spacing w:val="39"/>
          <w:sz w:val="22"/>
        </w:rPr>
        <w:t> </w:t>
      </w:r>
      <w:r>
        <w:rPr>
          <w:i/>
          <w:sz w:val="22"/>
        </w:rPr>
        <w:t>chaussettes</w:t>
      </w:r>
      <w:r>
        <w:rPr>
          <w:i/>
          <w:spacing w:val="38"/>
          <w:sz w:val="22"/>
        </w:rPr>
        <w:t> </w:t>
      </w:r>
      <w:r>
        <w:rPr>
          <w:i/>
          <w:sz w:val="22"/>
        </w:rPr>
        <w:t>;</w:t>
      </w:r>
      <w:r>
        <w:rPr>
          <w:i/>
          <w:spacing w:val="39"/>
          <w:sz w:val="22"/>
        </w:rPr>
        <w:t> </w:t>
      </w:r>
      <w:r>
        <w:rPr>
          <w:i/>
          <w:sz w:val="22"/>
        </w:rPr>
        <w:t>chaussons</w:t>
      </w:r>
      <w:r>
        <w:rPr>
          <w:i/>
          <w:spacing w:val="38"/>
          <w:sz w:val="22"/>
        </w:rPr>
        <w:t> </w:t>
      </w:r>
      <w:r>
        <w:rPr>
          <w:i/>
          <w:sz w:val="22"/>
        </w:rPr>
        <w:t>;</w:t>
      </w:r>
      <w:r>
        <w:rPr>
          <w:i/>
          <w:spacing w:val="39"/>
          <w:sz w:val="22"/>
        </w:rPr>
        <w:t> </w:t>
      </w:r>
      <w:r>
        <w:rPr>
          <w:i/>
          <w:sz w:val="22"/>
        </w:rPr>
        <w:t>chaussures</w:t>
      </w:r>
      <w:r>
        <w:rPr>
          <w:i/>
          <w:spacing w:val="38"/>
          <w:sz w:val="22"/>
        </w:rPr>
        <w:t> </w:t>
      </w:r>
      <w:r>
        <w:rPr>
          <w:i/>
          <w:sz w:val="22"/>
        </w:rPr>
        <w:t>de</w:t>
      </w:r>
      <w:r>
        <w:rPr>
          <w:i/>
          <w:spacing w:val="38"/>
          <w:sz w:val="22"/>
        </w:rPr>
        <w:t> </w:t>
      </w:r>
      <w:r>
        <w:rPr>
          <w:i/>
          <w:sz w:val="22"/>
        </w:rPr>
        <w:t>plage</w:t>
      </w:r>
      <w:r>
        <w:rPr>
          <w:i/>
          <w:spacing w:val="38"/>
          <w:sz w:val="22"/>
        </w:rPr>
        <w:t> </w:t>
      </w:r>
      <w:r>
        <w:rPr>
          <w:i/>
          <w:sz w:val="22"/>
        </w:rPr>
        <w:t>;</w:t>
      </w:r>
      <w:r>
        <w:rPr>
          <w:i/>
          <w:spacing w:val="39"/>
          <w:sz w:val="22"/>
        </w:rPr>
        <w:t> </w:t>
      </w:r>
      <w:r>
        <w:rPr>
          <w:i/>
          <w:sz w:val="22"/>
        </w:rPr>
        <w:t>chaussures</w:t>
      </w:r>
      <w:r>
        <w:rPr>
          <w:i/>
          <w:spacing w:val="38"/>
          <w:sz w:val="22"/>
        </w:rPr>
        <w:t> </w:t>
      </w:r>
      <w:r>
        <w:rPr>
          <w:i/>
          <w:sz w:val="22"/>
        </w:rPr>
        <w:t>de sport ; sous-vêtements ».</w:t>
      </w:r>
    </w:p>
    <w:p>
      <w:pPr>
        <w:spacing w:before="252"/>
        <w:ind w:left="3" w:right="141" w:firstLine="0"/>
        <w:jc w:val="both"/>
        <w:rPr>
          <w:sz w:val="22"/>
        </w:rPr>
      </w:pPr>
      <w:r>
        <w:rPr>
          <w:sz w:val="22"/>
        </w:rPr>
        <w:t>La marque antérieure a notamment été enregistrée pour les produits suivants : </w:t>
      </w:r>
      <w:r>
        <w:rPr>
          <w:i/>
          <w:sz w:val="22"/>
        </w:rPr>
        <w:t>«</w:t>
      </w:r>
      <w:r>
        <w:rPr>
          <w:i/>
          <w:spacing w:val="-1"/>
          <w:sz w:val="22"/>
        </w:rPr>
        <w:t> </w:t>
      </w:r>
      <w:r>
        <w:rPr>
          <w:i/>
          <w:sz w:val="22"/>
        </w:rPr>
        <w:t>Vêtements et tous articles d'habillement, fourrures, chaussures, chapeaux, blouses, lingerie, bas, foulards, carrés, cravates, écharpes, ceintures »</w:t>
      </w:r>
      <w:r>
        <w:rPr>
          <w:sz w:val="22"/>
        </w:rPr>
        <w:t>.</w:t>
      </w:r>
    </w:p>
    <w:p>
      <w:pPr>
        <w:pStyle w:val="BodyText"/>
      </w:pPr>
    </w:p>
    <w:p>
      <w:pPr>
        <w:pStyle w:val="BodyText"/>
        <w:ind w:left="3" w:right="159"/>
        <w:jc w:val="both"/>
      </w:pPr>
      <w:r>
        <w:rPr/>
        <w:t>La société opposante soutient que les produits de la demande d'enregistrement contestée sont identiques et similaires aux produits invoqués de la marque antérieure.</w:t>
      </w:r>
    </w:p>
    <w:p>
      <w:pPr>
        <w:pStyle w:val="BodyText"/>
        <w:spacing w:before="1"/>
      </w:pPr>
    </w:p>
    <w:p>
      <w:pPr>
        <w:pStyle w:val="BodyText"/>
        <w:ind w:left="3" w:right="154"/>
        <w:jc w:val="both"/>
      </w:pPr>
      <w:r>
        <w:rPr/>
        <w:t>Les produits de la demande d’enregistrement contestée apparaissent identiques aux produits invoqués de la marque antérieure, ce qui n’est pas contesté par la déposante.</w:t>
      </w:r>
    </w:p>
    <w:p>
      <w:pPr>
        <w:pStyle w:val="BodyText"/>
        <w:spacing w:before="253"/>
        <w:ind w:left="3" w:right="143"/>
        <w:jc w:val="both"/>
      </w:pPr>
      <w:r>
        <w:rPr/>
        <w:t>Ne sauraient être pris en compte les arguments de la déposante relatifs aux conditions d’exploitation des signes (produits luxueux pour la marque antérieure et « </w:t>
      </w:r>
      <w:r>
        <w:rPr>
          <w:i/>
        </w:rPr>
        <w:t>modestes</w:t>
      </w:r>
      <w:r>
        <w:rPr>
          <w:i/>
          <w:spacing w:val="-1"/>
        </w:rPr>
        <w:t> </w:t>
      </w:r>
      <w:r>
        <w:rPr/>
        <w:t>» pour le signe contesté, canaux de vente, publics ciblés). En effet, dans le cadre de la procédure d’opposition, la comparaison des produits et des services doit s’effectuer uniquement entre les produits et services tels que désignés</w:t>
      </w:r>
      <w:r>
        <w:rPr>
          <w:spacing w:val="40"/>
        </w:rPr>
        <w:t> </w:t>
      </w:r>
      <w:r>
        <w:rPr/>
        <w:t>dans les libellés des marques en présence, indépendamment de leurs conditions effectives d’exploitation ou de l’activité réelle ou supposée des parties.</w:t>
      </w:r>
    </w:p>
    <w:p>
      <w:pPr>
        <w:pStyle w:val="BodyText"/>
      </w:pPr>
    </w:p>
    <w:p>
      <w:pPr>
        <w:pStyle w:val="BodyText"/>
        <w:spacing w:before="20"/>
      </w:pPr>
    </w:p>
    <w:p>
      <w:pPr>
        <w:pStyle w:val="Heading1"/>
      </w:pPr>
      <w:r>
        <w:rPr/>
        <w:t>Sur</w:t>
      </w:r>
      <w:r>
        <w:rPr>
          <w:spacing w:val="7"/>
        </w:rPr>
        <w:t> </w:t>
      </w:r>
      <w:r>
        <w:rPr/>
        <w:t>la</w:t>
      </w:r>
      <w:r>
        <w:rPr>
          <w:spacing w:val="6"/>
        </w:rPr>
        <w:t> </w:t>
      </w:r>
      <w:r>
        <w:rPr/>
        <w:t>comparaison</w:t>
      </w:r>
      <w:r>
        <w:rPr>
          <w:spacing w:val="6"/>
        </w:rPr>
        <w:t> </w:t>
      </w:r>
      <w:r>
        <w:rPr/>
        <w:t>des</w:t>
      </w:r>
      <w:r>
        <w:rPr>
          <w:spacing w:val="5"/>
        </w:rPr>
        <w:t> </w:t>
      </w:r>
      <w:r>
        <w:rPr>
          <w:spacing w:val="-2"/>
        </w:rPr>
        <w:t>signes</w:t>
      </w:r>
    </w:p>
    <w:p>
      <w:pPr>
        <w:pStyle w:val="BodyText"/>
        <w:rPr>
          <w:rFonts w:ascii="Cambria"/>
          <w:b/>
        </w:rPr>
      </w:pPr>
    </w:p>
    <w:p>
      <w:pPr>
        <w:pStyle w:val="BodyText"/>
        <w:spacing w:before="126"/>
        <w:rPr>
          <w:rFonts w:ascii="Cambria"/>
          <w:b/>
        </w:rPr>
      </w:pPr>
    </w:p>
    <w:p>
      <w:pPr>
        <w:pStyle w:val="BodyText"/>
        <w:ind w:left="3"/>
        <w:jc w:val="both"/>
      </w:pPr>
      <w:r>
        <w:rPr/>
        <w:t>La</w:t>
      </w:r>
      <w:r>
        <w:rPr>
          <w:spacing w:val="-6"/>
        </w:rPr>
        <w:t> </w:t>
      </w:r>
      <w:r>
        <w:rPr/>
        <w:t>demande</w:t>
      </w:r>
      <w:r>
        <w:rPr>
          <w:spacing w:val="-3"/>
        </w:rPr>
        <w:t> </w:t>
      </w:r>
      <w:r>
        <w:rPr/>
        <w:t>d’enregistrement</w:t>
      </w:r>
      <w:r>
        <w:rPr>
          <w:spacing w:val="-2"/>
        </w:rPr>
        <w:t> </w:t>
      </w:r>
      <w:r>
        <w:rPr/>
        <w:t>porte</w:t>
      </w:r>
      <w:r>
        <w:rPr>
          <w:spacing w:val="-5"/>
        </w:rPr>
        <w:t> </w:t>
      </w:r>
      <w:r>
        <w:rPr/>
        <w:t>sur</w:t>
      </w:r>
      <w:r>
        <w:rPr>
          <w:spacing w:val="-5"/>
        </w:rPr>
        <w:t> </w:t>
      </w:r>
      <w:r>
        <w:rPr/>
        <w:t>le</w:t>
      </w:r>
      <w:r>
        <w:rPr>
          <w:spacing w:val="-5"/>
        </w:rPr>
        <w:t> </w:t>
      </w:r>
      <w:r>
        <w:rPr/>
        <w:t>signe</w:t>
      </w:r>
      <w:r>
        <w:rPr>
          <w:spacing w:val="-5"/>
        </w:rPr>
        <w:t> </w:t>
      </w:r>
      <w:r>
        <w:rPr/>
        <w:t>verbal</w:t>
      </w:r>
      <w:r>
        <w:rPr>
          <w:spacing w:val="-2"/>
        </w:rPr>
        <w:t> </w:t>
      </w:r>
      <w:r>
        <w:rPr/>
        <w:t>LAYYIN,</w:t>
      </w:r>
      <w:r>
        <w:rPr>
          <w:spacing w:val="-3"/>
        </w:rPr>
        <w:t> </w:t>
      </w:r>
      <w:r>
        <w:rPr/>
        <w:t>ci-dessous</w:t>
      </w:r>
      <w:r>
        <w:rPr>
          <w:spacing w:val="-2"/>
        </w:rPr>
        <w:t> </w:t>
      </w:r>
      <w:r>
        <w:rPr/>
        <w:t>reproduit</w:t>
      </w:r>
      <w:r>
        <w:rPr>
          <w:spacing w:val="-2"/>
        </w:rPr>
        <w:t> </w:t>
      </w:r>
      <w:r>
        <w:rPr>
          <w:spacing w:val="-10"/>
        </w:rPr>
        <w:t>:</w:t>
      </w:r>
    </w:p>
    <w:p>
      <w:pPr>
        <w:pStyle w:val="BodyText"/>
        <w:spacing w:before="7"/>
        <w:rPr>
          <w:sz w:val="13"/>
        </w:rPr>
      </w:pPr>
      <w:r>
        <w:rPr>
          <w:sz w:val="13"/>
        </w:rPr>
        <w:drawing>
          <wp:anchor distT="0" distB="0" distL="0" distR="0" allowOverlap="1" layoutInCell="1" locked="0" behindDoc="1" simplePos="0" relativeHeight="487588352">
            <wp:simplePos x="0" y="0"/>
            <wp:positionH relativeFrom="page">
              <wp:posOffset>3166110</wp:posOffset>
            </wp:positionH>
            <wp:positionV relativeFrom="paragraph">
              <wp:posOffset>114702</wp:posOffset>
            </wp:positionV>
            <wp:extent cx="1228725" cy="28575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228725" cy="285750"/>
                    </a:xfrm>
                    <a:prstGeom prst="rect">
                      <a:avLst/>
                    </a:prstGeom>
                  </pic:spPr>
                </pic:pic>
              </a:graphicData>
            </a:graphic>
          </wp:anchor>
        </w:drawing>
      </w:r>
    </w:p>
    <w:p>
      <w:pPr>
        <w:pStyle w:val="BodyText"/>
        <w:spacing w:line="259" w:lineRule="auto" w:before="182"/>
        <w:ind w:left="3" w:right="161"/>
        <w:jc w:val="both"/>
      </w:pPr>
      <w:r>
        <w:rPr/>
        <w:t>La marque antérieure porte sur la dénomination LANVIN, présentée en lettres majuscules d’imprimerie droites et noires.</w:t>
      </w:r>
    </w:p>
    <w:p>
      <w:pPr>
        <w:pStyle w:val="BodyText"/>
        <w:spacing w:before="160"/>
        <w:ind w:left="3"/>
        <w:jc w:val="both"/>
      </w:pPr>
      <w:r>
        <w:rPr/>
        <w:t>La</w:t>
      </w:r>
      <w:r>
        <w:rPr>
          <w:spacing w:val="-5"/>
        </w:rPr>
        <w:t> </w:t>
      </w:r>
      <w:r>
        <w:rPr/>
        <w:t>société</w:t>
      </w:r>
      <w:r>
        <w:rPr>
          <w:spacing w:val="-5"/>
        </w:rPr>
        <w:t> </w:t>
      </w:r>
      <w:r>
        <w:rPr/>
        <w:t>opposante</w:t>
      </w:r>
      <w:r>
        <w:rPr>
          <w:spacing w:val="-3"/>
        </w:rPr>
        <w:t> </w:t>
      </w:r>
      <w:r>
        <w:rPr/>
        <w:t>soutient</w:t>
      </w:r>
      <w:r>
        <w:rPr>
          <w:spacing w:val="-2"/>
        </w:rPr>
        <w:t> </w:t>
      </w:r>
      <w:r>
        <w:rPr/>
        <w:t>que</w:t>
      </w:r>
      <w:r>
        <w:rPr>
          <w:spacing w:val="-5"/>
        </w:rPr>
        <w:t> </w:t>
      </w:r>
      <w:r>
        <w:rPr/>
        <w:t>les</w:t>
      </w:r>
      <w:r>
        <w:rPr>
          <w:spacing w:val="-2"/>
        </w:rPr>
        <w:t> </w:t>
      </w:r>
      <w:r>
        <w:rPr/>
        <w:t>signes</w:t>
      </w:r>
      <w:r>
        <w:rPr>
          <w:spacing w:val="-4"/>
        </w:rPr>
        <w:t> </w:t>
      </w:r>
      <w:r>
        <w:rPr/>
        <w:t>en</w:t>
      </w:r>
      <w:r>
        <w:rPr>
          <w:spacing w:val="-3"/>
        </w:rPr>
        <w:t> </w:t>
      </w:r>
      <w:r>
        <w:rPr/>
        <w:t>cause</w:t>
      </w:r>
      <w:r>
        <w:rPr>
          <w:spacing w:val="-3"/>
        </w:rPr>
        <w:t> </w:t>
      </w:r>
      <w:r>
        <w:rPr/>
        <w:t>sont</w:t>
      </w:r>
      <w:r>
        <w:rPr>
          <w:spacing w:val="-2"/>
        </w:rPr>
        <w:t> similaires.</w:t>
      </w:r>
    </w:p>
    <w:p>
      <w:pPr>
        <w:pStyle w:val="BodyText"/>
        <w:spacing w:after="0"/>
        <w:jc w:val="both"/>
        <w:sectPr>
          <w:pgSz w:w="11910" w:h="16840"/>
          <w:pgMar w:header="0" w:footer="923" w:top="1320" w:bottom="1180" w:left="1417" w:right="1275"/>
        </w:sectPr>
      </w:pPr>
    </w:p>
    <w:p>
      <w:pPr>
        <w:pStyle w:val="BodyText"/>
        <w:spacing w:line="259" w:lineRule="auto" w:before="79"/>
        <w:ind w:left="3" w:right="161"/>
        <w:jc w:val="both"/>
      </w:pPr>
      <w:r>
        <w:rPr/>
        <w:t>L'appréciation globale doit, en ce qui concerne la similitude visuelle, auditive ou conceptuelle des marques en cause, être fondée sur l'impression d'ensemble produite par les marques, en tenant compte notamment de leurs éléments distinctifs et dominants.</w:t>
      </w:r>
    </w:p>
    <w:p>
      <w:pPr>
        <w:pStyle w:val="BodyText"/>
        <w:spacing w:line="259" w:lineRule="auto" w:before="160"/>
        <w:ind w:left="3" w:right="159"/>
        <w:jc w:val="both"/>
      </w:pPr>
      <w:r>
        <w:rP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pPr>
        <w:pStyle w:val="BodyText"/>
        <w:spacing w:line="259" w:lineRule="auto" w:before="158"/>
        <w:ind w:left="3" w:right="160"/>
        <w:jc w:val="both"/>
      </w:pPr>
      <w:r>
        <w:rPr/>
        <w:t>Il résulte d’une comparaison globale et objective des signes que le signe contesté tout comme la marque antérieure d'une dénomination unique.</w:t>
      </w:r>
    </w:p>
    <w:p>
      <w:pPr>
        <w:pStyle w:val="BodyText"/>
        <w:spacing w:line="259" w:lineRule="auto" w:before="160"/>
        <w:ind w:left="3" w:right="154"/>
        <w:jc w:val="both"/>
      </w:pPr>
      <w:r>
        <w:rPr/>
        <w:t>Si les signes sont de même longueur et comportent les mêmes lettres LA en attaque et IN en position finale, cette seule circonstance ne saurait suffire à faire naître un risque de confusion dans l’esprit du consommateur, dans la mesure où ces deux signes produisent une impression d’ensemble différente.</w:t>
      </w:r>
    </w:p>
    <w:p>
      <w:pPr>
        <w:pStyle w:val="BodyText"/>
        <w:spacing w:line="259" w:lineRule="auto" w:before="160"/>
        <w:ind w:left="3" w:right="147"/>
        <w:jc w:val="both"/>
      </w:pPr>
      <w:r>
        <w:rPr/>
        <w:t>En effet, visuellement les dénominations LAYYIN et LANVIN se différencient par leur séquence médiane, respectivement YY et NV- ce qui leur confère une physionomie différente.</w:t>
      </w:r>
    </w:p>
    <w:p>
      <w:pPr>
        <w:spacing w:line="259" w:lineRule="auto" w:before="160"/>
        <w:ind w:left="3" w:right="149" w:firstLine="0"/>
        <w:jc w:val="both"/>
        <w:rPr>
          <w:sz w:val="22"/>
        </w:rPr>
      </w:pPr>
      <w:r>
        <w:rPr>
          <w:sz w:val="22"/>
        </w:rPr>
        <w:t>A cet égard, la société opposante ne saurait affirmer que « </w:t>
      </w:r>
      <w:r>
        <w:rPr>
          <w:i/>
          <w:sz w:val="22"/>
        </w:rPr>
        <w:t>la substitution au sein du signe contesté de la</w:t>
      </w:r>
      <w:r>
        <w:rPr>
          <w:i/>
          <w:spacing w:val="-2"/>
          <w:sz w:val="22"/>
        </w:rPr>
        <w:t> </w:t>
      </w:r>
      <w:r>
        <w:rPr>
          <w:i/>
          <w:sz w:val="22"/>
        </w:rPr>
        <w:t>lettre</w:t>
      </w:r>
      <w:r>
        <w:rPr>
          <w:i/>
          <w:spacing w:val="-2"/>
          <w:sz w:val="22"/>
        </w:rPr>
        <w:t> </w:t>
      </w:r>
      <w:r>
        <w:rPr>
          <w:i/>
          <w:sz w:val="22"/>
        </w:rPr>
        <w:t>N</w:t>
      </w:r>
      <w:r>
        <w:rPr>
          <w:i/>
          <w:spacing w:val="-4"/>
          <w:sz w:val="22"/>
        </w:rPr>
        <w:t> </w:t>
      </w:r>
      <w:r>
        <w:rPr>
          <w:i/>
          <w:sz w:val="22"/>
        </w:rPr>
        <w:t>par</w:t>
      </w:r>
      <w:r>
        <w:rPr>
          <w:i/>
          <w:spacing w:val="-1"/>
          <w:sz w:val="22"/>
        </w:rPr>
        <w:t> </w:t>
      </w:r>
      <w:r>
        <w:rPr>
          <w:i/>
          <w:sz w:val="22"/>
        </w:rPr>
        <w:t>la</w:t>
      </w:r>
      <w:r>
        <w:rPr>
          <w:i/>
          <w:spacing w:val="-2"/>
          <w:sz w:val="22"/>
        </w:rPr>
        <w:t> </w:t>
      </w:r>
      <w:r>
        <w:rPr>
          <w:i/>
          <w:sz w:val="22"/>
        </w:rPr>
        <w:t>lettre</w:t>
      </w:r>
      <w:r>
        <w:rPr>
          <w:i/>
          <w:spacing w:val="-2"/>
          <w:sz w:val="22"/>
        </w:rPr>
        <w:t> </w:t>
      </w:r>
      <w:r>
        <w:rPr>
          <w:i/>
          <w:sz w:val="22"/>
        </w:rPr>
        <w:t>Y</w:t>
      </w:r>
      <w:r>
        <w:rPr>
          <w:i/>
          <w:spacing w:val="-4"/>
          <w:sz w:val="22"/>
        </w:rPr>
        <w:t> </w:t>
      </w:r>
      <w:r>
        <w:rPr>
          <w:i/>
          <w:sz w:val="22"/>
        </w:rPr>
        <w:t>a</w:t>
      </w:r>
      <w:r>
        <w:rPr>
          <w:i/>
          <w:spacing w:val="-2"/>
          <w:sz w:val="22"/>
        </w:rPr>
        <w:t> </w:t>
      </w:r>
      <w:r>
        <w:rPr>
          <w:i/>
          <w:sz w:val="22"/>
        </w:rPr>
        <w:t>peu</w:t>
      </w:r>
      <w:r>
        <w:rPr>
          <w:i/>
          <w:spacing w:val="-4"/>
          <w:sz w:val="22"/>
        </w:rPr>
        <w:t> </w:t>
      </w:r>
      <w:r>
        <w:rPr>
          <w:i/>
          <w:sz w:val="22"/>
        </w:rPr>
        <w:t>de</w:t>
      </w:r>
      <w:r>
        <w:rPr>
          <w:i/>
          <w:spacing w:val="-4"/>
          <w:sz w:val="22"/>
        </w:rPr>
        <w:t> </w:t>
      </w:r>
      <w:r>
        <w:rPr>
          <w:i/>
          <w:sz w:val="22"/>
        </w:rPr>
        <w:t>conséquences</w:t>
      </w:r>
      <w:r>
        <w:rPr>
          <w:i/>
          <w:spacing w:val="-1"/>
          <w:sz w:val="22"/>
        </w:rPr>
        <w:t> </w:t>
      </w:r>
      <w:r>
        <w:rPr>
          <w:i/>
          <w:sz w:val="22"/>
        </w:rPr>
        <w:t>d’un</w:t>
      </w:r>
      <w:r>
        <w:rPr>
          <w:i/>
          <w:spacing w:val="-2"/>
          <w:sz w:val="22"/>
        </w:rPr>
        <w:t> </w:t>
      </w:r>
      <w:r>
        <w:rPr>
          <w:i/>
          <w:sz w:val="22"/>
        </w:rPr>
        <w:t>point</w:t>
      </w:r>
      <w:r>
        <w:rPr>
          <w:i/>
          <w:spacing w:val="-1"/>
          <w:sz w:val="22"/>
        </w:rPr>
        <w:t> </w:t>
      </w:r>
      <w:r>
        <w:rPr>
          <w:i/>
          <w:sz w:val="22"/>
        </w:rPr>
        <w:t>de</w:t>
      </w:r>
      <w:r>
        <w:rPr>
          <w:i/>
          <w:spacing w:val="-2"/>
          <w:sz w:val="22"/>
        </w:rPr>
        <w:t> </w:t>
      </w:r>
      <w:r>
        <w:rPr>
          <w:i/>
          <w:sz w:val="22"/>
        </w:rPr>
        <w:t>vue</w:t>
      </w:r>
      <w:r>
        <w:rPr>
          <w:i/>
          <w:spacing w:val="-4"/>
          <w:sz w:val="22"/>
        </w:rPr>
        <w:t> </w:t>
      </w:r>
      <w:r>
        <w:rPr>
          <w:i/>
          <w:sz w:val="22"/>
        </w:rPr>
        <w:t>visuel</w:t>
      </w:r>
      <w:r>
        <w:rPr>
          <w:i/>
          <w:spacing w:val="-3"/>
          <w:sz w:val="22"/>
        </w:rPr>
        <w:t> </w:t>
      </w:r>
      <w:r>
        <w:rPr>
          <w:i/>
          <w:sz w:val="22"/>
        </w:rPr>
        <w:t>puisqu’elle</w:t>
      </w:r>
      <w:r>
        <w:rPr>
          <w:i/>
          <w:spacing w:val="-2"/>
          <w:sz w:val="22"/>
        </w:rPr>
        <w:t> </w:t>
      </w:r>
      <w:r>
        <w:rPr>
          <w:i/>
          <w:sz w:val="22"/>
        </w:rPr>
        <w:t>est</w:t>
      </w:r>
      <w:r>
        <w:rPr>
          <w:i/>
          <w:spacing w:val="-3"/>
          <w:sz w:val="22"/>
        </w:rPr>
        <w:t> </w:t>
      </w:r>
      <w:r>
        <w:rPr>
          <w:i/>
          <w:sz w:val="22"/>
        </w:rPr>
        <w:t>située</w:t>
      </w:r>
      <w:r>
        <w:rPr>
          <w:i/>
          <w:spacing w:val="-2"/>
          <w:sz w:val="22"/>
        </w:rPr>
        <w:t> </w:t>
      </w:r>
      <w:r>
        <w:rPr>
          <w:i/>
          <w:sz w:val="22"/>
        </w:rPr>
        <w:t>au</w:t>
      </w:r>
      <w:r>
        <w:rPr>
          <w:i/>
          <w:spacing w:val="-4"/>
          <w:sz w:val="22"/>
        </w:rPr>
        <w:t> </w:t>
      </w:r>
      <w:r>
        <w:rPr>
          <w:i/>
          <w:sz w:val="22"/>
        </w:rPr>
        <w:t>cœur des dénominations »</w:t>
      </w:r>
      <w:r>
        <w:rPr>
          <w:sz w:val="22"/>
        </w:rPr>
        <w:t>. En effet, outre le fait que la lettre Y est peu usitée en langue française, son doublement au sein du signe contesté ne fait que renforcer sa singularité.</w:t>
      </w:r>
    </w:p>
    <w:p>
      <w:pPr>
        <w:pStyle w:val="BodyText"/>
        <w:spacing w:line="259" w:lineRule="auto" w:before="159"/>
        <w:ind w:left="3" w:right="146"/>
        <w:jc w:val="both"/>
      </w:pPr>
      <w:r>
        <w:rPr/>
        <w:t>L’opposante affirme que les lettres V et YY ont « </w:t>
      </w:r>
      <w:r>
        <w:rPr>
          <w:i/>
        </w:rPr>
        <w:t>une physionomie très proche avec leur style angulaire</w:t>
      </w:r>
      <w:r>
        <w:rPr>
          <w:i/>
          <w:spacing w:val="-2"/>
        </w:rPr>
        <w:t> </w:t>
      </w:r>
      <w:r>
        <w:rPr/>
        <w:t>». Toutefois, s’il est vrai que l’aspect des lettres V</w:t>
      </w:r>
      <w:r>
        <w:rPr>
          <w:spacing w:val="-1"/>
        </w:rPr>
        <w:t> </w:t>
      </w:r>
      <w:r>
        <w:rPr/>
        <w:t>et Y présente certains points communs, il n’en demeure pas moins, comme précédemment indiqué, que le doublement de la lettre Y dans le</w:t>
      </w:r>
      <w:r>
        <w:rPr>
          <w:spacing w:val="40"/>
        </w:rPr>
        <w:t> </w:t>
      </w:r>
      <w:r>
        <w:rPr/>
        <w:t>signe contesté lui confère une physionomie spécifique et marquante, et ce d’autant plus qu’il s’agit d’une lettre rare en français (et dont le doublement l’est encore plus).</w:t>
      </w:r>
    </w:p>
    <w:p>
      <w:pPr>
        <w:pStyle w:val="BodyText"/>
        <w:spacing w:before="19"/>
      </w:pPr>
    </w:p>
    <w:p>
      <w:pPr>
        <w:spacing w:before="0"/>
        <w:ind w:left="3" w:right="150" w:firstLine="0"/>
        <w:jc w:val="both"/>
        <w:rPr>
          <w:sz w:val="22"/>
        </w:rPr>
      </w:pPr>
      <w:r>
        <w:rPr>
          <w:sz w:val="22"/>
        </w:rPr>
        <w:t>Phonétiquement, les dénominations LAYYIN et LANVIN se distinguent par la plupart de leurs sonorités (sonorités respectives [ailline] pour la première et / [anvain] pour la seconde). Comme le relève la déposante, le signe contesté « </w:t>
      </w:r>
      <w:r>
        <w:rPr>
          <w:i/>
          <w:sz w:val="22"/>
        </w:rPr>
        <w:t>LAYYN a une prononciation plus douce et mélodieuse (…) tandis que LANVIN a une sonorité plus marquée avec des sonorités nasales plus prononcées »</w:t>
      </w:r>
      <w:r>
        <w:rPr>
          <w:sz w:val="22"/>
        </w:rPr>
        <w:t>.</w:t>
      </w:r>
    </w:p>
    <w:p>
      <w:pPr>
        <w:pStyle w:val="BodyText"/>
        <w:spacing w:before="19"/>
      </w:pPr>
    </w:p>
    <w:p>
      <w:pPr>
        <w:pStyle w:val="BodyText"/>
        <w:spacing w:line="259" w:lineRule="auto"/>
        <w:ind w:left="3" w:right="158"/>
        <w:jc w:val="both"/>
      </w:pPr>
      <w:r>
        <w:rPr/>
        <w:t>Ces différences visuelles et phonétiques sont d'autant plus marquantes qu’elles affectent chacune des deux syllabes qui composent les dénominations.</w:t>
      </w:r>
    </w:p>
    <w:p>
      <w:pPr>
        <w:pStyle w:val="BodyText"/>
        <w:spacing w:before="20"/>
      </w:pPr>
    </w:p>
    <w:p>
      <w:pPr>
        <w:pStyle w:val="BodyText"/>
        <w:spacing w:line="259" w:lineRule="auto"/>
        <w:ind w:left="3" w:right="148"/>
        <w:jc w:val="both"/>
      </w:pPr>
      <w:r>
        <w:rPr/>
        <w:t>Ainsi, les deux signes pris dans leur ensemble présentent des différences visuelles et phonétiques </w:t>
      </w:r>
      <w:r>
        <w:rPr>
          <w:spacing w:val="-2"/>
        </w:rPr>
        <w:t>prépondérantes.</w:t>
      </w:r>
    </w:p>
    <w:p>
      <w:pPr>
        <w:pStyle w:val="BodyText"/>
      </w:pPr>
    </w:p>
    <w:p>
      <w:pPr>
        <w:pStyle w:val="BodyText"/>
        <w:spacing w:before="112"/>
      </w:pPr>
    </w:p>
    <w:p>
      <w:pPr>
        <w:pStyle w:val="Heading1"/>
      </w:pPr>
      <w:r>
        <w:rPr/>
        <w:t>Sur</w:t>
      </w:r>
      <w:r>
        <w:rPr>
          <w:spacing w:val="9"/>
        </w:rPr>
        <w:t> </w:t>
      </w:r>
      <w:r>
        <w:rPr/>
        <w:t>l'appréciation</w:t>
      </w:r>
      <w:r>
        <w:rPr>
          <w:spacing w:val="9"/>
        </w:rPr>
        <w:t> </w:t>
      </w:r>
      <w:r>
        <w:rPr/>
        <w:t>globale</w:t>
      </w:r>
      <w:r>
        <w:rPr>
          <w:spacing w:val="7"/>
        </w:rPr>
        <w:t> </w:t>
      </w:r>
      <w:r>
        <w:rPr/>
        <w:t>du</w:t>
      </w:r>
      <w:r>
        <w:rPr>
          <w:spacing w:val="7"/>
        </w:rPr>
        <w:t> </w:t>
      </w:r>
      <w:r>
        <w:rPr/>
        <w:t>risque</w:t>
      </w:r>
      <w:r>
        <w:rPr>
          <w:spacing w:val="9"/>
        </w:rPr>
        <w:t> </w:t>
      </w:r>
      <w:r>
        <w:rPr/>
        <w:t>de</w:t>
      </w:r>
      <w:r>
        <w:rPr>
          <w:spacing w:val="10"/>
        </w:rPr>
        <w:t> </w:t>
      </w:r>
      <w:r>
        <w:rPr>
          <w:spacing w:val="-2"/>
        </w:rPr>
        <w:t>confusion</w:t>
      </w:r>
    </w:p>
    <w:p>
      <w:pPr>
        <w:pStyle w:val="BodyText"/>
        <w:spacing w:before="92"/>
        <w:rPr>
          <w:rFonts w:ascii="Cambria"/>
          <w:b/>
        </w:rPr>
      </w:pPr>
    </w:p>
    <w:p>
      <w:pPr>
        <w:pStyle w:val="BodyText"/>
        <w:ind w:left="3" w:right="157"/>
        <w:jc w:val="both"/>
      </w:pPr>
      <w:r>
        <w:rPr/>
        <w:t>L'appréciation globale du risque de confusion implique une certaine interdépendance des facteurs pris en</w:t>
      </w:r>
      <w:r>
        <w:rPr>
          <w:spacing w:val="-3"/>
        </w:rPr>
        <w:t> </w:t>
      </w:r>
      <w:r>
        <w:rPr/>
        <w:t>compte</w:t>
      </w:r>
      <w:r>
        <w:rPr>
          <w:spacing w:val="-3"/>
        </w:rPr>
        <w:t> </w:t>
      </w:r>
      <w:r>
        <w:rPr/>
        <w:t>et</w:t>
      </w:r>
      <w:r>
        <w:rPr>
          <w:spacing w:val="-2"/>
        </w:rPr>
        <w:t> </w:t>
      </w:r>
      <w:r>
        <w:rPr/>
        <w:t>notamment</w:t>
      </w:r>
      <w:r>
        <w:rPr>
          <w:spacing w:val="-2"/>
        </w:rPr>
        <w:t> </w:t>
      </w:r>
      <w:r>
        <w:rPr/>
        <w:t>la</w:t>
      </w:r>
      <w:r>
        <w:rPr>
          <w:spacing w:val="-3"/>
        </w:rPr>
        <w:t> </w:t>
      </w:r>
      <w:r>
        <w:rPr/>
        <w:t>similitude</w:t>
      </w:r>
      <w:r>
        <w:rPr>
          <w:spacing w:val="-3"/>
        </w:rPr>
        <w:t> </w:t>
      </w:r>
      <w:r>
        <w:rPr/>
        <w:t>des</w:t>
      </w:r>
      <w:r>
        <w:rPr>
          <w:spacing w:val="-2"/>
        </w:rPr>
        <w:t> </w:t>
      </w:r>
      <w:r>
        <w:rPr/>
        <w:t>marques</w:t>
      </w:r>
      <w:r>
        <w:rPr>
          <w:spacing w:val="-2"/>
        </w:rPr>
        <w:t> </w:t>
      </w:r>
      <w:r>
        <w:rPr/>
        <w:t>et</w:t>
      </w:r>
      <w:r>
        <w:rPr>
          <w:spacing w:val="-2"/>
        </w:rPr>
        <w:t> </w:t>
      </w:r>
      <w:r>
        <w:rPr/>
        <w:t>celle</w:t>
      </w:r>
      <w:r>
        <w:rPr>
          <w:spacing w:val="-3"/>
        </w:rPr>
        <w:t> </w:t>
      </w:r>
      <w:r>
        <w:rPr/>
        <w:t>des</w:t>
      </w:r>
      <w:r>
        <w:rPr>
          <w:spacing w:val="-2"/>
        </w:rPr>
        <w:t> </w:t>
      </w:r>
      <w:r>
        <w:rPr/>
        <w:t>produits</w:t>
      </w:r>
      <w:r>
        <w:rPr>
          <w:spacing w:val="-2"/>
        </w:rPr>
        <w:t> </w:t>
      </w:r>
      <w:r>
        <w:rPr/>
        <w:t>ou</w:t>
      </w:r>
      <w:r>
        <w:rPr>
          <w:spacing w:val="-3"/>
        </w:rPr>
        <w:t> </w:t>
      </w:r>
      <w:r>
        <w:rPr/>
        <w:t>services</w:t>
      </w:r>
      <w:r>
        <w:rPr>
          <w:spacing w:val="-2"/>
        </w:rPr>
        <w:t> </w:t>
      </w:r>
      <w:r>
        <w:rPr/>
        <w:t>désignés.</w:t>
      </w:r>
      <w:r>
        <w:rPr>
          <w:spacing w:val="-2"/>
        </w:rPr>
        <w:t> </w:t>
      </w:r>
      <w:r>
        <w:rPr/>
        <w:t>Ainsi,</w:t>
      </w:r>
      <w:r>
        <w:rPr>
          <w:spacing w:val="-2"/>
        </w:rPr>
        <w:t> </w:t>
      </w:r>
      <w:r>
        <w:rPr/>
        <w:t>un faible degré de similitude entre</w:t>
      </w:r>
      <w:r>
        <w:rPr>
          <w:spacing w:val="-3"/>
        </w:rPr>
        <w:t> </w:t>
      </w:r>
      <w:r>
        <w:rPr/>
        <w:t>les produits et services désignés</w:t>
      </w:r>
      <w:r>
        <w:rPr>
          <w:spacing w:val="-2"/>
        </w:rPr>
        <w:t> </w:t>
      </w:r>
      <w:r>
        <w:rPr/>
        <w:t>peut</w:t>
      </w:r>
      <w:r>
        <w:rPr>
          <w:spacing w:val="-2"/>
        </w:rPr>
        <w:t> </w:t>
      </w:r>
      <w:r>
        <w:rPr/>
        <w:t>être compensé par un</w:t>
      </w:r>
      <w:r>
        <w:rPr>
          <w:spacing w:val="-3"/>
        </w:rPr>
        <w:t> </w:t>
      </w:r>
      <w:r>
        <w:rPr/>
        <w:t>degré</w:t>
      </w:r>
      <w:r>
        <w:rPr>
          <w:spacing w:val="-3"/>
        </w:rPr>
        <w:t> </w:t>
      </w:r>
      <w:r>
        <w:rPr/>
        <w:t>élevé de similitude entre les marques, et inversement.</w:t>
      </w:r>
    </w:p>
    <w:p>
      <w:pPr>
        <w:pStyle w:val="BodyText"/>
        <w:spacing w:before="1"/>
      </w:pPr>
    </w:p>
    <w:p>
      <w:pPr>
        <w:pStyle w:val="BodyText"/>
        <w:ind w:left="3" w:right="74"/>
        <w:jc w:val="both"/>
      </w:pPr>
      <w:r>
        <w:rPr/>
        <w:t>En</w:t>
      </w:r>
      <w:r>
        <w:rPr>
          <w:spacing w:val="-1"/>
        </w:rPr>
        <w:t> </w:t>
      </w:r>
      <w:r>
        <w:rPr/>
        <w:t>l’espèce, en</w:t>
      </w:r>
      <w:r>
        <w:rPr>
          <w:spacing w:val="-1"/>
        </w:rPr>
        <w:t> </w:t>
      </w:r>
      <w:r>
        <w:rPr/>
        <w:t>raison</w:t>
      </w:r>
      <w:r>
        <w:rPr>
          <w:spacing w:val="-1"/>
        </w:rPr>
        <w:t> </w:t>
      </w:r>
      <w:r>
        <w:rPr/>
        <w:t>de l’impression</w:t>
      </w:r>
      <w:r>
        <w:rPr>
          <w:spacing w:val="-1"/>
        </w:rPr>
        <w:t> </w:t>
      </w:r>
      <w:r>
        <w:rPr/>
        <w:t>d’ensemble</w:t>
      </w:r>
      <w:r>
        <w:rPr>
          <w:spacing w:val="-1"/>
        </w:rPr>
        <w:t> </w:t>
      </w:r>
      <w:r>
        <w:rPr/>
        <w:t>différente laissée</w:t>
      </w:r>
      <w:r>
        <w:rPr>
          <w:spacing w:val="-1"/>
        </w:rPr>
        <w:t> </w:t>
      </w:r>
      <w:r>
        <w:rPr/>
        <w:t>par les signes, le</w:t>
      </w:r>
      <w:r>
        <w:rPr>
          <w:spacing w:val="-1"/>
        </w:rPr>
        <w:t> </w:t>
      </w:r>
      <w:r>
        <w:rPr/>
        <w:t>public</w:t>
      </w:r>
      <w:r>
        <w:rPr>
          <w:spacing w:val="-1"/>
        </w:rPr>
        <w:t> </w:t>
      </w:r>
      <w:r>
        <w:rPr/>
        <w:t>ne sera</w:t>
      </w:r>
      <w:r>
        <w:rPr>
          <w:spacing w:val="-1"/>
        </w:rPr>
        <w:t> </w:t>
      </w:r>
      <w:r>
        <w:rPr/>
        <w:t>pas fondé à attribuer à ces marques la même origine, et ce malgré l’identité des produits en cause.</w:t>
      </w:r>
    </w:p>
    <w:p>
      <w:pPr>
        <w:spacing w:before="252"/>
        <w:ind w:left="3" w:right="46" w:firstLine="0"/>
        <w:jc w:val="both"/>
        <w:rPr>
          <w:sz w:val="22"/>
        </w:rPr>
      </w:pPr>
      <w:r>
        <w:rPr>
          <w:sz w:val="22"/>
        </w:rPr>
        <w:t>Par ailleurs, la société opposante fait valoir que le </w:t>
      </w:r>
      <w:r>
        <w:rPr>
          <w:i/>
          <w:sz w:val="22"/>
        </w:rPr>
        <w:t>«caractère distinctif </w:t>
      </w:r>
      <w:r>
        <w:rPr>
          <w:sz w:val="22"/>
        </w:rPr>
        <w:t>[de la marque antérieure] </w:t>
      </w:r>
      <w:r>
        <w:rPr>
          <w:i/>
          <w:sz w:val="22"/>
        </w:rPr>
        <w:t>est renforcé par la connaissance démontrée de la marque LANVIN pour les produits relevant de la classe 25 »</w:t>
      </w:r>
      <w:r>
        <w:rPr>
          <w:sz w:val="22"/>
        </w:rPr>
        <w:t>. Toutefois, la société opposante n’apporte aucune preuve à l’appui de cette affirmation.</w:t>
      </w:r>
    </w:p>
    <w:p>
      <w:pPr>
        <w:spacing w:after="0"/>
        <w:jc w:val="both"/>
        <w:rPr>
          <w:sz w:val="22"/>
        </w:rPr>
        <w:sectPr>
          <w:pgSz w:w="11910" w:h="16840"/>
          <w:pgMar w:header="0" w:footer="923" w:top="1320" w:bottom="1180" w:left="1417" w:right="1275"/>
        </w:sectPr>
      </w:pPr>
    </w:p>
    <w:p>
      <w:pPr>
        <w:pStyle w:val="BodyText"/>
        <w:spacing w:before="73"/>
        <w:ind w:left="3" w:right="151"/>
        <w:jc w:val="both"/>
      </w:pPr>
      <w:r>
        <w:rPr/>
        <w:t>A cet égard, la décision d’opposition OP13-4841 citée par la société opposante ne saurait être prise en considération dès lors que l’opposante ne peut se dispenser d’apporter les éléments factuels susceptibles de caractériser cette connaissance et de permettre ainsi au déposant d’y répondre utilement. En tout état de cause, cette décision est ancienne car datée de 2013, étant observé que la notoriété d’une marque antérieure doit être établie à la date de dépôt de la demande de marque contestée (cf. CA Paris, 15 décembre 2017, EARTH WIND &amp; FIRE).</w:t>
      </w:r>
    </w:p>
    <w:p>
      <w:pPr>
        <w:pStyle w:val="BodyText"/>
      </w:pPr>
    </w:p>
    <w:p>
      <w:pPr>
        <w:pStyle w:val="BodyText"/>
        <w:spacing w:before="252"/>
      </w:pPr>
    </w:p>
    <w:p>
      <w:pPr>
        <w:spacing w:before="0"/>
        <w:ind w:left="3" w:right="0" w:firstLine="0"/>
        <w:jc w:val="left"/>
        <w:rPr>
          <w:rFonts w:ascii="Cambria"/>
          <w:b/>
          <w:sz w:val="22"/>
        </w:rPr>
      </w:pPr>
      <w:r>
        <w:rPr>
          <w:rFonts w:ascii="Cambria"/>
          <w:b/>
          <w:spacing w:val="-2"/>
          <w:w w:val="105"/>
          <w:sz w:val="22"/>
        </w:rPr>
        <w:t>CONCLUSION</w:t>
      </w:r>
    </w:p>
    <w:p>
      <w:pPr>
        <w:pStyle w:val="BodyText"/>
        <w:spacing w:before="208"/>
        <w:ind w:left="3" w:right="161"/>
        <w:jc w:val="both"/>
      </w:pPr>
      <w:r>
        <w:rPr/>
        <w:t>En conséquence, le signe verbal contesté peut être adopté comme marque pour désigner des produits identiques, sans porter atteinte au droit antérieur de la société opposante.</w:t>
      </w:r>
    </w:p>
    <w:p>
      <w:pPr>
        <w:pStyle w:val="BodyText"/>
        <w:spacing w:before="157"/>
        <w:rPr>
          <w:sz w:val="20"/>
        </w:rPr>
      </w:pPr>
    </w:p>
    <w:p>
      <w:pPr>
        <w:pStyle w:val="BodyText"/>
        <w:spacing w:after="0"/>
        <w:rPr>
          <w:sz w:val="20"/>
        </w:rPr>
        <w:sectPr>
          <w:pgSz w:w="11910" w:h="16840"/>
          <w:pgMar w:header="0" w:footer="923" w:top="1580" w:bottom="1180" w:left="1417" w:right="1275"/>
        </w:sectPr>
      </w:pPr>
    </w:p>
    <w:p>
      <w:pPr>
        <w:spacing w:before="119"/>
        <w:ind w:left="3" w:right="0" w:firstLine="0"/>
        <w:jc w:val="left"/>
        <w:rPr>
          <w:rFonts w:ascii="Cambria"/>
          <w:b/>
          <w:sz w:val="22"/>
        </w:rPr>
      </w:pPr>
      <w:r>
        <w:rPr>
          <w:rFonts w:ascii="Cambria"/>
          <w:b/>
          <w:w w:val="105"/>
          <w:sz w:val="22"/>
        </w:rPr>
        <w:t>PAR</w:t>
      </w:r>
      <w:r>
        <w:rPr>
          <w:rFonts w:ascii="Cambria"/>
          <w:b/>
          <w:spacing w:val="-11"/>
          <w:w w:val="105"/>
          <w:sz w:val="22"/>
        </w:rPr>
        <w:t> </w:t>
      </w:r>
      <w:r>
        <w:rPr>
          <w:rFonts w:ascii="Cambria"/>
          <w:b/>
          <w:w w:val="105"/>
          <w:sz w:val="22"/>
        </w:rPr>
        <w:t>CES</w:t>
      </w:r>
      <w:r>
        <w:rPr>
          <w:rFonts w:ascii="Cambria"/>
          <w:b/>
          <w:spacing w:val="-9"/>
          <w:w w:val="105"/>
          <w:sz w:val="22"/>
        </w:rPr>
        <w:t> </w:t>
      </w:r>
      <w:r>
        <w:rPr>
          <w:rFonts w:ascii="Cambria"/>
          <w:b/>
          <w:spacing w:val="-2"/>
          <w:w w:val="105"/>
          <w:sz w:val="22"/>
        </w:rPr>
        <w:t>MOTIFS</w:t>
      </w:r>
    </w:p>
    <w:p>
      <w:pPr>
        <w:pStyle w:val="BodyText"/>
        <w:rPr>
          <w:rFonts w:ascii="Cambria"/>
          <w:b/>
        </w:rPr>
      </w:pPr>
    </w:p>
    <w:p>
      <w:pPr>
        <w:pStyle w:val="BodyText"/>
        <w:rPr>
          <w:rFonts w:ascii="Cambria"/>
          <w:b/>
        </w:rPr>
      </w:pPr>
    </w:p>
    <w:p>
      <w:pPr>
        <w:pStyle w:val="BodyText"/>
        <w:spacing w:before="78"/>
        <w:rPr>
          <w:rFonts w:ascii="Cambria"/>
          <w:b/>
        </w:rPr>
      </w:pPr>
    </w:p>
    <w:p>
      <w:pPr>
        <w:spacing w:before="1"/>
        <w:ind w:left="3" w:right="0" w:firstLine="0"/>
        <w:jc w:val="left"/>
        <w:rPr>
          <w:sz w:val="22"/>
        </w:rPr>
      </w:pPr>
      <w:r>
        <w:rPr>
          <w:rFonts w:ascii="Cambria" w:hAnsi="Cambria"/>
          <w:b/>
          <w:sz w:val="22"/>
        </w:rPr>
        <w:t>Article</w:t>
      </w:r>
      <w:r>
        <w:rPr>
          <w:rFonts w:ascii="Cambria" w:hAnsi="Cambria"/>
          <w:b/>
          <w:spacing w:val="1"/>
          <w:sz w:val="22"/>
        </w:rPr>
        <w:t> </w:t>
      </w:r>
      <w:r>
        <w:rPr>
          <w:rFonts w:ascii="Cambria" w:hAnsi="Cambria"/>
          <w:b/>
          <w:sz w:val="22"/>
        </w:rPr>
        <w:t>unique</w:t>
      </w:r>
      <w:r>
        <w:rPr>
          <w:rFonts w:ascii="Cambria" w:hAnsi="Cambria"/>
          <w:b/>
          <w:spacing w:val="2"/>
          <w:sz w:val="22"/>
        </w:rPr>
        <w:t> </w:t>
      </w:r>
      <w:r>
        <w:rPr>
          <w:sz w:val="22"/>
        </w:rPr>
        <w:t>:</w:t>
      </w:r>
      <w:r>
        <w:rPr>
          <w:spacing w:val="5"/>
          <w:sz w:val="22"/>
        </w:rPr>
        <w:t> </w:t>
      </w:r>
      <w:r>
        <w:rPr>
          <w:sz w:val="22"/>
        </w:rPr>
        <w:t>L'opposition</w:t>
      </w:r>
      <w:r>
        <w:rPr>
          <w:spacing w:val="4"/>
          <w:sz w:val="22"/>
        </w:rPr>
        <w:t> </w:t>
      </w:r>
      <w:r>
        <w:rPr>
          <w:sz w:val="22"/>
        </w:rPr>
        <w:t>est</w:t>
      </w:r>
      <w:r>
        <w:rPr>
          <w:spacing w:val="4"/>
          <w:sz w:val="22"/>
        </w:rPr>
        <w:t> </w:t>
      </w:r>
      <w:r>
        <w:rPr>
          <w:spacing w:val="-2"/>
          <w:sz w:val="22"/>
        </w:rPr>
        <w:t>rejetée.</w:t>
      </w:r>
    </w:p>
    <w:p>
      <w:pPr>
        <w:spacing w:line="240" w:lineRule="auto" w:before="0"/>
        <w:rPr>
          <w:sz w:val="22"/>
        </w:rPr>
      </w:pPr>
      <w:r>
        <w:rPr/>
        <w:br w:type="column"/>
      </w:r>
      <w:r>
        <w:rPr>
          <w:sz w:val="22"/>
        </w:rPr>
      </w:r>
    </w:p>
    <w:p>
      <w:pPr>
        <w:pStyle w:val="BodyText"/>
        <w:spacing w:before="167"/>
      </w:pPr>
    </w:p>
    <w:p>
      <w:pPr>
        <w:spacing w:before="0"/>
        <w:ind w:left="2" w:right="0" w:firstLine="0"/>
        <w:jc w:val="left"/>
        <w:rPr>
          <w:rFonts w:ascii="Cambria"/>
          <w:b/>
          <w:sz w:val="22"/>
        </w:rPr>
      </w:pPr>
      <w:r>
        <w:rPr>
          <w:rFonts w:ascii="Cambria"/>
          <w:b/>
          <w:spacing w:val="-2"/>
          <w:w w:val="105"/>
          <w:sz w:val="22"/>
        </w:rPr>
        <w:t>DECIDE</w:t>
      </w:r>
    </w:p>
    <w:sectPr>
      <w:type w:val="continuous"/>
      <w:pgSz w:w="11910" w:h="16840"/>
      <w:pgMar w:header="0" w:footer="923" w:top="1040" w:bottom="1120" w:left="1417" w:right="1275"/>
      <w:cols w:num="2" w:equalWidth="0">
        <w:col w:w="3743" w:space="397"/>
        <w:col w:w="50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3088">
          <wp:simplePos x="0" y="0"/>
          <wp:positionH relativeFrom="page">
            <wp:posOffset>0</wp:posOffset>
          </wp:positionH>
          <wp:positionV relativeFrom="page">
            <wp:posOffset>10112905</wp:posOffset>
          </wp:positionV>
          <wp:extent cx="7560360" cy="57909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60360" cy="57909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13600">
              <wp:simplePos x="0" y="0"/>
              <wp:positionH relativeFrom="page">
                <wp:posOffset>3708400</wp:posOffset>
              </wp:positionH>
              <wp:positionV relativeFrom="page">
                <wp:posOffset>9966335</wp:posOffset>
              </wp:positionV>
              <wp:extent cx="160020"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100"/>
                      </a:xfrm>
                      <a:prstGeom prst="rect">
                        <a:avLst/>
                      </a:prstGeom>
                    </wps:spPr>
                    <wps:txbx>
                      <w:txbxContent>
                        <w:p>
                          <w:pPr>
                            <w:pStyle w:val="BodyText"/>
                            <w:spacing w:line="244" w:lineRule="exact"/>
                            <w:ind w:left="60"/>
                            <w:rPr>
                              <w:rFonts w:ascii="Calibri"/>
                            </w:rPr>
                          </w:pPr>
                          <w:r>
                            <w:rPr>
                              <w:rFonts w:ascii="Calibri"/>
                              <w:color w:val="7F7F7F"/>
                              <w:spacing w:val="-10"/>
                            </w:rPr>
                            <w:fldChar w:fldCharType="begin"/>
                          </w:r>
                          <w:r>
                            <w:rPr>
                              <w:rFonts w:ascii="Calibri"/>
                              <w:color w:val="7F7F7F"/>
                              <w:spacing w:val="-10"/>
                            </w:rPr>
                            <w:instrText> PAGE </w:instrText>
                          </w:r>
                          <w:r>
                            <w:rPr>
                              <w:rFonts w:ascii="Calibri"/>
                              <w:color w:val="7F7F7F"/>
                              <w:spacing w:val="-10"/>
                            </w:rPr>
                            <w:fldChar w:fldCharType="separate"/>
                          </w:r>
                          <w:r>
                            <w:rPr>
                              <w:rFonts w:ascii="Calibri"/>
                              <w:color w:val="7F7F7F"/>
                              <w:spacing w:val="-10"/>
                            </w:rPr>
                            <w:t>1</w:t>
                          </w:r>
                          <w:r>
                            <w:rPr>
                              <w:rFonts w:ascii="Calibri"/>
                              <w:color w:val="7F7F7F"/>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pt;margin-top:784.750793pt;width:12.6pt;height:13pt;mso-position-horizontal-relative:page;mso-position-vertical-relative:page;z-index:-15802880" type="#_x0000_t202" id="docshape1" filled="false" stroked="false">
              <v:textbox inset="0,0,0,0">
                <w:txbxContent>
                  <w:p>
                    <w:pPr>
                      <w:pStyle w:val="BodyText"/>
                      <w:spacing w:line="244" w:lineRule="exact"/>
                      <w:ind w:left="60"/>
                      <w:rPr>
                        <w:rFonts w:ascii="Calibri"/>
                      </w:rPr>
                    </w:pPr>
                    <w:r>
                      <w:rPr>
                        <w:rFonts w:ascii="Calibri"/>
                        <w:color w:val="7F7F7F"/>
                        <w:spacing w:val="-10"/>
                      </w:rPr>
                      <w:fldChar w:fldCharType="begin"/>
                    </w:r>
                    <w:r>
                      <w:rPr>
                        <w:rFonts w:ascii="Calibri"/>
                        <w:color w:val="7F7F7F"/>
                        <w:spacing w:val="-10"/>
                      </w:rPr>
                      <w:instrText> PAGE </w:instrText>
                    </w:r>
                    <w:r>
                      <w:rPr>
                        <w:rFonts w:ascii="Calibri"/>
                        <w:color w:val="7F7F7F"/>
                        <w:spacing w:val="-10"/>
                      </w:rPr>
                      <w:fldChar w:fldCharType="separate"/>
                    </w:r>
                    <w:r>
                      <w:rPr>
                        <w:rFonts w:ascii="Calibri"/>
                        <w:color w:val="7F7F7F"/>
                        <w:spacing w:val="-10"/>
                      </w:rPr>
                      <w:t>1</w:t>
                    </w:r>
                    <w:r>
                      <w:rPr>
                        <w:rFonts w:ascii="Calibri"/>
                        <w:color w:val="7F7F7F"/>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00" w:hanging="198"/>
        <w:jc w:val="left"/>
      </w:pPr>
      <w:rPr>
        <w:rFonts w:hint="default" w:ascii="Cambria" w:hAnsi="Cambria" w:eastAsia="Cambria" w:cs="Cambria"/>
        <w:b/>
        <w:bCs/>
        <w:i w:val="0"/>
        <w:iCs w:val="0"/>
        <w:spacing w:val="-1"/>
        <w:w w:val="112"/>
        <w:sz w:val="22"/>
        <w:szCs w:val="22"/>
        <w:lang w:val="fr-FR" w:eastAsia="en-US" w:bidi="ar-SA"/>
      </w:rPr>
    </w:lvl>
    <w:lvl w:ilvl="1">
      <w:start w:val="0"/>
      <w:numFmt w:val="bullet"/>
      <w:lvlText w:val="•"/>
      <w:lvlJc w:val="left"/>
      <w:pPr>
        <w:ind w:left="1101" w:hanging="198"/>
      </w:pPr>
      <w:rPr>
        <w:rFonts w:hint="default"/>
        <w:lang w:val="fr-FR" w:eastAsia="en-US" w:bidi="ar-SA"/>
      </w:rPr>
    </w:lvl>
    <w:lvl w:ilvl="2">
      <w:start w:val="0"/>
      <w:numFmt w:val="bullet"/>
      <w:lvlText w:val="•"/>
      <w:lvlJc w:val="left"/>
      <w:pPr>
        <w:ind w:left="2002" w:hanging="198"/>
      </w:pPr>
      <w:rPr>
        <w:rFonts w:hint="default"/>
        <w:lang w:val="fr-FR" w:eastAsia="en-US" w:bidi="ar-SA"/>
      </w:rPr>
    </w:lvl>
    <w:lvl w:ilvl="3">
      <w:start w:val="0"/>
      <w:numFmt w:val="bullet"/>
      <w:lvlText w:val="•"/>
      <w:lvlJc w:val="left"/>
      <w:pPr>
        <w:ind w:left="2904" w:hanging="198"/>
      </w:pPr>
      <w:rPr>
        <w:rFonts w:hint="default"/>
        <w:lang w:val="fr-FR" w:eastAsia="en-US" w:bidi="ar-SA"/>
      </w:rPr>
    </w:lvl>
    <w:lvl w:ilvl="4">
      <w:start w:val="0"/>
      <w:numFmt w:val="bullet"/>
      <w:lvlText w:val="•"/>
      <w:lvlJc w:val="left"/>
      <w:pPr>
        <w:ind w:left="3805" w:hanging="198"/>
      </w:pPr>
      <w:rPr>
        <w:rFonts w:hint="default"/>
        <w:lang w:val="fr-FR" w:eastAsia="en-US" w:bidi="ar-SA"/>
      </w:rPr>
    </w:lvl>
    <w:lvl w:ilvl="5">
      <w:start w:val="0"/>
      <w:numFmt w:val="bullet"/>
      <w:lvlText w:val="•"/>
      <w:lvlJc w:val="left"/>
      <w:pPr>
        <w:ind w:left="4707" w:hanging="198"/>
      </w:pPr>
      <w:rPr>
        <w:rFonts w:hint="default"/>
        <w:lang w:val="fr-FR" w:eastAsia="en-US" w:bidi="ar-SA"/>
      </w:rPr>
    </w:lvl>
    <w:lvl w:ilvl="6">
      <w:start w:val="0"/>
      <w:numFmt w:val="bullet"/>
      <w:lvlText w:val="•"/>
      <w:lvlJc w:val="left"/>
      <w:pPr>
        <w:ind w:left="5608" w:hanging="198"/>
      </w:pPr>
      <w:rPr>
        <w:rFonts w:hint="default"/>
        <w:lang w:val="fr-FR" w:eastAsia="en-US" w:bidi="ar-SA"/>
      </w:rPr>
    </w:lvl>
    <w:lvl w:ilvl="7">
      <w:start w:val="0"/>
      <w:numFmt w:val="bullet"/>
      <w:lvlText w:val="•"/>
      <w:lvlJc w:val="left"/>
      <w:pPr>
        <w:ind w:left="6509" w:hanging="198"/>
      </w:pPr>
      <w:rPr>
        <w:rFonts w:hint="default"/>
        <w:lang w:val="fr-FR" w:eastAsia="en-US" w:bidi="ar-SA"/>
      </w:rPr>
    </w:lvl>
    <w:lvl w:ilvl="8">
      <w:start w:val="0"/>
      <w:numFmt w:val="bullet"/>
      <w:lvlText w:val="•"/>
      <w:lvlJc w:val="left"/>
      <w:pPr>
        <w:ind w:left="7411" w:hanging="198"/>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fr-FR" w:eastAsia="en-US" w:bidi="ar-SA"/>
    </w:rPr>
  </w:style>
  <w:style w:styleId="Heading1" w:type="paragraph">
    <w:name w:val="Heading 1"/>
    <w:basedOn w:val="Normal"/>
    <w:uiPriority w:val="1"/>
    <w:qFormat/>
    <w:pPr>
      <w:ind w:left="3"/>
      <w:jc w:val="both"/>
      <w:outlineLvl w:val="1"/>
    </w:pPr>
    <w:rPr>
      <w:rFonts w:ascii="Cambria" w:hAnsi="Cambria" w:eastAsia="Cambria" w:cs="Cambria"/>
      <w:b/>
      <w:bCs/>
      <w:sz w:val="22"/>
      <w:szCs w:val="22"/>
      <w:lang w:val="fr-FR" w:eastAsia="en-US" w:bidi="ar-SA"/>
    </w:rPr>
  </w:style>
  <w:style w:styleId="ListParagraph" w:type="paragraph">
    <w:name w:val="List Paragraph"/>
    <w:basedOn w:val="Normal"/>
    <w:uiPriority w:val="1"/>
    <w:qFormat/>
    <w:pPr>
      <w:ind w:left="200" w:hanging="283"/>
    </w:pPr>
    <w:rPr>
      <w:rFonts w:ascii="Cambria" w:hAnsi="Cambria" w:eastAsia="Cambria" w:cs="Cambria"/>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2025-06-12T12:39:31Z</dcterms:created>
  <dcterms:modified xsi:type="dcterms:W3CDTF">2025-06-12T12:39:31Z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LastSaved">
    <vt:filetime>2025-06-12T00:00:00Z</vt:filetime>
  </property>
  <property fmtid="{D5CDD505-2E9C-101B-9397-08002B2CF9AE}" pid="4" name="Producer">
    <vt:lpwstr>PyPDF2</vt:lpwstr>
  </property>
</Properties>
</file>